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A38" w:rsidRDefault="00B80A38" w:rsidP="007617AF">
      <w:pPr>
        <w:jc w:val="center"/>
        <w:rPr>
          <w:rFonts w:cstheme="minorHAnsi"/>
          <w:b/>
        </w:rPr>
      </w:pPr>
      <w:r>
        <w:rPr>
          <w:rFonts w:cstheme="minorHAnsi"/>
          <w:b/>
        </w:rPr>
        <w:t>T</w:t>
      </w:r>
      <w:r w:rsidRPr="002F42D0">
        <w:rPr>
          <w:rFonts w:cstheme="minorHAnsi"/>
          <w:b/>
        </w:rPr>
        <w:t xml:space="preserve">his paper is </w:t>
      </w:r>
      <w:r>
        <w:rPr>
          <w:rFonts w:cstheme="minorHAnsi"/>
          <w:b/>
        </w:rPr>
        <w:t>for discussion</w:t>
      </w:r>
      <w:r w:rsidRPr="002F42D0">
        <w:rPr>
          <w:rFonts w:cstheme="minorHAnsi"/>
          <w:b/>
        </w:rPr>
        <w:t xml:space="preserve"> and </w:t>
      </w:r>
      <w:r>
        <w:rPr>
          <w:rFonts w:cstheme="minorHAnsi"/>
          <w:b/>
        </w:rPr>
        <w:t>does</w:t>
      </w:r>
      <w:r w:rsidRPr="002F42D0">
        <w:rPr>
          <w:rFonts w:cstheme="minorHAnsi"/>
          <w:b/>
        </w:rPr>
        <w:t xml:space="preserve"> not </w:t>
      </w:r>
      <w:r>
        <w:rPr>
          <w:rFonts w:cstheme="minorHAnsi"/>
          <w:b/>
        </w:rPr>
        <w:t xml:space="preserve">represent </w:t>
      </w:r>
      <w:r w:rsidRPr="002F42D0">
        <w:rPr>
          <w:rFonts w:cstheme="minorHAnsi"/>
          <w:b/>
        </w:rPr>
        <w:t>government policy or policy intent</w:t>
      </w:r>
    </w:p>
    <w:p w:rsidR="00B14C89" w:rsidRPr="00B14C89" w:rsidRDefault="00AE3111" w:rsidP="00B14C89">
      <w:pPr>
        <w:jc w:val="center"/>
        <w:rPr>
          <w:rFonts w:asciiTheme="majorHAnsi" w:eastAsiaTheme="majorEastAsia" w:hAnsiTheme="majorHAnsi" w:cstheme="majorBidi"/>
          <w:b/>
          <w:bCs/>
          <w:color w:val="365F91" w:themeColor="accent1" w:themeShade="BF"/>
          <w:sz w:val="28"/>
          <w:szCs w:val="28"/>
        </w:rPr>
      </w:pPr>
      <w:proofErr w:type="spellStart"/>
      <w:r w:rsidRPr="00B14C89">
        <w:rPr>
          <w:rFonts w:asciiTheme="majorHAnsi" w:eastAsiaTheme="majorEastAsia" w:hAnsiTheme="majorHAnsi" w:cstheme="majorBidi"/>
          <w:b/>
          <w:bCs/>
          <w:color w:val="365F91" w:themeColor="accent1" w:themeShade="BF"/>
          <w:sz w:val="28"/>
          <w:szCs w:val="28"/>
        </w:rPr>
        <w:t>Off</w:t>
      </w:r>
      <w:r>
        <w:rPr>
          <w:rFonts w:asciiTheme="majorHAnsi" w:eastAsiaTheme="majorEastAsia" w:hAnsiTheme="majorHAnsi" w:cstheme="majorBidi"/>
          <w:b/>
          <w:bCs/>
          <w:color w:val="365F91" w:themeColor="accent1" w:themeShade="BF"/>
          <w:sz w:val="28"/>
          <w:szCs w:val="28"/>
        </w:rPr>
        <w:t>t</w:t>
      </w:r>
      <w:r w:rsidRPr="00B14C89">
        <w:rPr>
          <w:rFonts w:asciiTheme="majorHAnsi" w:eastAsiaTheme="majorEastAsia" w:hAnsiTheme="majorHAnsi" w:cstheme="majorBidi"/>
          <w:b/>
          <w:bCs/>
          <w:color w:val="365F91" w:themeColor="accent1" w:themeShade="BF"/>
          <w:sz w:val="28"/>
          <w:szCs w:val="28"/>
        </w:rPr>
        <w:t>aker</w:t>
      </w:r>
      <w:proofErr w:type="spellEnd"/>
      <w:r w:rsidRPr="00B14C89">
        <w:rPr>
          <w:rFonts w:asciiTheme="majorHAnsi" w:eastAsiaTheme="majorEastAsia" w:hAnsiTheme="majorHAnsi" w:cstheme="majorBidi"/>
          <w:b/>
          <w:bCs/>
          <w:color w:val="365F91" w:themeColor="accent1" w:themeShade="BF"/>
          <w:sz w:val="28"/>
          <w:szCs w:val="28"/>
        </w:rPr>
        <w:t xml:space="preserve"> </w:t>
      </w:r>
      <w:r>
        <w:rPr>
          <w:rFonts w:asciiTheme="majorHAnsi" w:eastAsiaTheme="majorEastAsia" w:hAnsiTheme="majorHAnsi" w:cstheme="majorBidi"/>
          <w:b/>
          <w:bCs/>
          <w:color w:val="365F91" w:themeColor="accent1" w:themeShade="BF"/>
          <w:sz w:val="28"/>
          <w:szCs w:val="28"/>
        </w:rPr>
        <w:t>o</w:t>
      </w:r>
      <w:r w:rsidRPr="00B14C89">
        <w:rPr>
          <w:rFonts w:asciiTheme="majorHAnsi" w:eastAsiaTheme="majorEastAsia" w:hAnsiTheme="majorHAnsi" w:cstheme="majorBidi"/>
          <w:b/>
          <w:bCs/>
          <w:color w:val="365F91" w:themeColor="accent1" w:themeShade="BF"/>
          <w:sz w:val="28"/>
          <w:szCs w:val="28"/>
        </w:rPr>
        <w:t xml:space="preserve">f Last Resort Advisory </w:t>
      </w:r>
      <w:r>
        <w:rPr>
          <w:rFonts w:asciiTheme="majorHAnsi" w:eastAsiaTheme="majorEastAsia" w:hAnsiTheme="majorHAnsi" w:cstheme="majorBidi"/>
          <w:b/>
          <w:bCs/>
          <w:color w:val="365F91" w:themeColor="accent1" w:themeShade="BF"/>
          <w:sz w:val="28"/>
          <w:szCs w:val="28"/>
        </w:rPr>
        <w:t>Group</w:t>
      </w:r>
      <w:r w:rsidRPr="00B14C89">
        <w:rPr>
          <w:rFonts w:asciiTheme="majorHAnsi" w:eastAsiaTheme="majorEastAsia" w:hAnsiTheme="majorHAnsi" w:cstheme="majorBidi"/>
          <w:b/>
          <w:bCs/>
          <w:color w:val="365F91" w:themeColor="accent1" w:themeShade="BF"/>
          <w:sz w:val="28"/>
          <w:szCs w:val="28"/>
        </w:rPr>
        <w:t xml:space="preserve"> </w:t>
      </w:r>
      <w:r>
        <w:rPr>
          <w:rFonts w:asciiTheme="majorHAnsi" w:eastAsiaTheme="majorEastAsia" w:hAnsiTheme="majorHAnsi" w:cstheme="majorBidi"/>
          <w:b/>
          <w:bCs/>
          <w:color w:val="365F91" w:themeColor="accent1" w:themeShade="BF"/>
          <w:sz w:val="28"/>
          <w:szCs w:val="28"/>
        </w:rPr>
        <w:t xml:space="preserve">Discussion </w:t>
      </w:r>
      <w:r w:rsidRPr="00B14C89">
        <w:rPr>
          <w:rFonts w:asciiTheme="majorHAnsi" w:eastAsiaTheme="majorEastAsia" w:hAnsiTheme="majorHAnsi" w:cstheme="majorBidi"/>
          <w:b/>
          <w:bCs/>
          <w:color w:val="365F91" w:themeColor="accent1" w:themeShade="BF"/>
          <w:sz w:val="28"/>
          <w:szCs w:val="28"/>
        </w:rPr>
        <w:t xml:space="preserve">Paper </w:t>
      </w:r>
      <w:r w:rsidR="00353D68">
        <w:rPr>
          <w:rFonts w:asciiTheme="majorHAnsi" w:eastAsiaTheme="majorEastAsia" w:hAnsiTheme="majorHAnsi" w:cstheme="majorBidi"/>
          <w:b/>
          <w:bCs/>
          <w:color w:val="365F91" w:themeColor="accent1" w:themeShade="BF"/>
          <w:sz w:val="28"/>
          <w:szCs w:val="28"/>
        </w:rPr>
        <w:t>4.1</w:t>
      </w:r>
      <w:bookmarkStart w:id="0" w:name="_GoBack"/>
      <w:bookmarkEnd w:id="0"/>
      <w:r w:rsidRPr="00B14C89">
        <w:rPr>
          <w:rFonts w:asciiTheme="majorHAnsi" w:eastAsiaTheme="majorEastAsia" w:hAnsiTheme="majorHAnsi" w:cstheme="majorBidi"/>
          <w:b/>
          <w:bCs/>
          <w:color w:val="365F91" w:themeColor="accent1" w:themeShade="BF"/>
          <w:sz w:val="28"/>
          <w:szCs w:val="28"/>
        </w:rPr>
        <w:t xml:space="preserve">: </w:t>
      </w:r>
      <w:r w:rsidR="00B14C89" w:rsidRPr="00B14C89">
        <w:rPr>
          <w:rFonts w:asciiTheme="majorHAnsi" w:eastAsiaTheme="majorEastAsia" w:hAnsiTheme="majorHAnsi" w:cstheme="majorBidi"/>
          <w:b/>
          <w:bCs/>
          <w:color w:val="365F91" w:themeColor="accent1" w:themeShade="BF"/>
          <w:sz w:val="28"/>
          <w:szCs w:val="28"/>
        </w:rPr>
        <w:br/>
      </w:r>
      <w:r w:rsidR="005F1B56">
        <w:rPr>
          <w:rFonts w:asciiTheme="majorHAnsi" w:eastAsiaTheme="majorEastAsia" w:hAnsiTheme="majorHAnsi" w:cstheme="majorBidi"/>
          <w:b/>
          <w:bCs/>
          <w:color w:val="365F91" w:themeColor="accent1" w:themeShade="BF"/>
          <w:sz w:val="28"/>
          <w:szCs w:val="28"/>
        </w:rPr>
        <w:t>SETTING THE BACKSTOP PPA DISCOUNT</w:t>
      </w:r>
    </w:p>
    <w:p w:rsidR="00083F25" w:rsidRPr="00F67652" w:rsidRDefault="00083F25" w:rsidP="00A6384D">
      <w:pPr>
        <w:pStyle w:val="Heading1"/>
        <w:pageBreakBefore w:val="0"/>
      </w:pPr>
      <w:r w:rsidRPr="00F67652">
        <w:t>Overview</w:t>
      </w:r>
    </w:p>
    <w:p w:rsidR="00083F25" w:rsidRDefault="00083D29" w:rsidP="008274A5">
      <w:pPr>
        <w:pBdr>
          <w:top w:val="single" w:sz="4" w:space="1" w:color="auto"/>
          <w:left w:val="single" w:sz="4" w:space="4" w:color="auto"/>
          <w:right w:val="single" w:sz="4" w:space="4" w:color="auto"/>
        </w:pBdr>
        <w:spacing w:after="0"/>
        <w:rPr>
          <w:b/>
          <w:color w:val="000000" w:themeColor="text1"/>
        </w:rPr>
      </w:pPr>
      <w:r w:rsidRPr="00083D29">
        <w:rPr>
          <w:b/>
          <w:color w:val="000000" w:themeColor="text1"/>
        </w:rPr>
        <w:t>Headlines</w:t>
      </w:r>
      <w:r w:rsidR="00083F25" w:rsidRPr="00083D29">
        <w:rPr>
          <w:b/>
          <w:color w:val="000000" w:themeColor="text1"/>
        </w:rPr>
        <w:t>:</w:t>
      </w:r>
    </w:p>
    <w:p w:rsidR="00705D15" w:rsidRPr="00083D29" w:rsidRDefault="00705D15" w:rsidP="008274A5">
      <w:pPr>
        <w:pBdr>
          <w:top w:val="single" w:sz="4" w:space="1" w:color="auto"/>
          <w:left w:val="single" w:sz="4" w:space="4" w:color="auto"/>
          <w:right w:val="single" w:sz="4" w:space="4" w:color="auto"/>
        </w:pBdr>
        <w:spacing w:after="0"/>
        <w:rPr>
          <w:b/>
          <w:color w:val="000000" w:themeColor="text1"/>
        </w:rPr>
      </w:pPr>
    </w:p>
    <w:p w:rsidR="00361FCB" w:rsidRPr="00A257CD" w:rsidRDefault="00075BBD" w:rsidP="00375975">
      <w:pPr>
        <w:pStyle w:val="ListParagraph"/>
        <w:numPr>
          <w:ilvl w:val="0"/>
          <w:numId w:val="31"/>
        </w:numPr>
        <w:pBdr>
          <w:top w:val="single" w:sz="4" w:space="1" w:color="auto"/>
          <w:left w:val="single" w:sz="4" w:space="4" w:color="auto"/>
          <w:right w:val="single" w:sz="4" w:space="4" w:color="auto"/>
        </w:pBdr>
        <w:spacing w:after="120" w:line="240" w:lineRule="auto"/>
        <w:contextualSpacing w:val="0"/>
        <w:rPr>
          <w:b/>
          <w:color w:val="000000" w:themeColor="text1"/>
        </w:rPr>
      </w:pPr>
      <w:r>
        <w:rPr>
          <w:color w:val="000000" w:themeColor="text1"/>
        </w:rPr>
        <w:t>T</w:t>
      </w:r>
      <w:r w:rsidR="00A257CD">
        <w:rPr>
          <w:color w:val="000000" w:themeColor="text1"/>
        </w:rPr>
        <w:t xml:space="preserve">he OLR is intended to be a ‘last resort’ route to market and to provide </w:t>
      </w:r>
      <w:r w:rsidR="00AC53B4">
        <w:rPr>
          <w:color w:val="000000" w:themeColor="text1"/>
        </w:rPr>
        <w:t>a ‘</w:t>
      </w:r>
      <w:r w:rsidR="00A257CD">
        <w:rPr>
          <w:color w:val="000000" w:themeColor="text1"/>
        </w:rPr>
        <w:t>worst case</w:t>
      </w:r>
      <w:r w:rsidR="00AC53B4">
        <w:rPr>
          <w:color w:val="000000" w:themeColor="text1"/>
        </w:rPr>
        <w:t>’ level of revenue</w:t>
      </w:r>
      <w:r>
        <w:rPr>
          <w:color w:val="000000" w:themeColor="text1"/>
        </w:rPr>
        <w:t>. W</w:t>
      </w:r>
      <w:r w:rsidR="00A257CD">
        <w:rPr>
          <w:color w:val="000000" w:themeColor="text1"/>
        </w:rPr>
        <w:t xml:space="preserve">e </w:t>
      </w:r>
      <w:r>
        <w:rPr>
          <w:color w:val="000000" w:themeColor="text1"/>
        </w:rPr>
        <w:t>therefore consider that</w:t>
      </w:r>
      <w:r w:rsidR="00A257CD">
        <w:rPr>
          <w:color w:val="000000" w:themeColor="text1"/>
        </w:rPr>
        <w:t xml:space="preserve"> </w:t>
      </w:r>
      <w:r w:rsidR="00A257CD" w:rsidRPr="00A257CD">
        <w:rPr>
          <w:b/>
          <w:color w:val="000000" w:themeColor="text1"/>
        </w:rPr>
        <w:t xml:space="preserve">discounts in backstop PPAs </w:t>
      </w:r>
      <w:r>
        <w:rPr>
          <w:b/>
          <w:color w:val="000000" w:themeColor="text1"/>
        </w:rPr>
        <w:t xml:space="preserve">should </w:t>
      </w:r>
      <w:r w:rsidR="00A257CD" w:rsidRPr="00A257CD">
        <w:rPr>
          <w:b/>
          <w:color w:val="000000" w:themeColor="text1"/>
        </w:rPr>
        <w:t>take the form of a £/MWh discount</w:t>
      </w:r>
      <w:r w:rsidR="00A257CD">
        <w:rPr>
          <w:color w:val="000000" w:themeColor="text1"/>
        </w:rPr>
        <w:t xml:space="preserve"> off the generator’s </w:t>
      </w:r>
      <w:proofErr w:type="spellStart"/>
      <w:r w:rsidR="00A257CD">
        <w:rPr>
          <w:color w:val="000000" w:themeColor="text1"/>
        </w:rPr>
        <w:t>CfD</w:t>
      </w:r>
      <w:proofErr w:type="spellEnd"/>
      <w:r w:rsidR="00A257CD">
        <w:rPr>
          <w:color w:val="000000" w:themeColor="text1"/>
        </w:rPr>
        <w:t xml:space="preserve"> reference price (rather than a % discount). This will ensure that the generator is not exposed to any </w:t>
      </w:r>
      <w:r w:rsidR="00AC53B4">
        <w:rPr>
          <w:color w:val="000000" w:themeColor="text1"/>
        </w:rPr>
        <w:t>additional</w:t>
      </w:r>
      <w:r w:rsidR="00A257CD">
        <w:rPr>
          <w:color w:val="000000" w:themeColor="text1"/>
        </w:rPr>
        <w:t xml:space="preserve"> wholesale price risk, reducing the risk that </w:t>
      </w:r>
      <w:r w:rsidR="00AC53B4">
        <w:rPr>
          <w:color w:val="000000" w:themeColor="text1"/>
        </w:rPr>
        <w:t xml:space="preserve">investors and </w:t>
      </w:r>
      <w:r w:rsidR="00A257CD">
        <w:rPr>
          <w:color w:val="000000" w:themeColor="text1"/>
        </w:rPr>
        <w:t>lenders will attach to revenues under the OLR.</w:t>
      </w:r>
    </w:p>
    <w:p w:rsidR="00A257CD" w:rsidRDefault="00A257CD" w:rsidP="00375975">
      <w:pPr>
        <w:pStyle w:val="ListParagraph"/>
        <w:numPr>
          <w:ilvl w:val="0"/>
          <w:numId w:val="31"/>
        </w:numPr>
        <w:pBdr>
          <w:top w:val="single" w:sz="4" w:space="1" w:color="auto"/>
          <w:left w:val="single" w:sz="4" w:space="4" w:color="auto"/>
          <w:right w:val="single" w:sz="4" w:space="4" w:color="auto"/>
        </w:pBdr>
        <w:spacing w:after="120" w:line="240" w:lineRule="auto"/>
        <w:contextualSpacing w:val="0"/>
        <w:rPr>
          <w:color w:val="000000" w:themeColor="text1"/>
        </w:rPr>
      </w:pPr>
      <w:r>
        <w:rPr>
          <w:color w:val="000000" w:themeColor="text1"/>
        </w:rPr>
        <w:t xml:space="preserve">We </w:t>
      </w:r>
      <w:r w:rsidR="00075BBD">
        <w:rPr>
          <w:color w:val="000000" w:themeColor="text1"/>
        </w:rPr>
        <w:t xml:space="preserve">consider that </w:t>
      </w:r>
      <w:r>
        <w:rPr>
          <w:color w:val="000000" w:themeColor="text1"/>
        </w:rPr>
        <w:t xml:space="preserve">backstop PPA discounts should be </w:t>
      </w:r>
      <w:r>
        <w:rPr>
          <w:b/>
          <w:color w:val="000000" w:themeColor="text1"/>
        </w:rPr>
        <w:t xml:space="preserve">fixed (in real terms) for the duration of a generator’s </w:t>
      </w:r>
      <w:proofErr w:type="spellStart"/>
      <w:r>
        <w:rPr>
          <w:b/>
          <w:color w:val="000000" w:themeColor="text1"/>
        </w:rPr>
        <w:t>CfD</w:t>
      </w:r>
      <w:proofErr w:type="spellEnd"/>
      <w:r>
        <w:rPr>
          <w:color w:val="000000" w:themeColor="text1"/>
        </w:rPr>
        <w:t xml:space="preserve">, </w:t>
      </w:r>
      <w:r w:rsidRPr="00965836">
        <w:rPr>
          <w:b/>
          <w:color w:val="000000" w:themeColor="text1"/>
        </w:rPr>
        <w:t>indexed by CPI</w:t>
      </w:r>
      <w:r w:rsidR="004968D6">
        <w:rPr>
          <w:b/>
          <w:color w:val="000000" w:themeColor="text1"/>
        </w:rPr>
        <w:t xml:space="preserve"> </w:t>
      </w:r>
      <w:r w:rsidR="005478A1">
        <w:rPr>
          <w:color w:val="000000" w:themeColor="text1"/>
        </w:rPr>
        <w:t>(</w:t>
      </w:r>
      <w:r w:rsidR="004968D6">
        <w:rPr>
          <w:color w:val="000000" w:themeColor="text1"/>
        </w:rPr>
        <w:t xml:space="preserve">in line with the </w:t>
      </w:r>
      <w:proofErr w:type="spellStart"/>
      <w:r w:rsidR="004968D6">
        <w:rPr>
          <w:color w:val="000000" w:themeColor="text1"/>
        </w:rPr>
        <w:t>CfD</w:t>
      </w:r>
      <w:proofErr w:type="spellEnd"/>
      <w:r w:rsidR="004968D6">
        <w:rPr>
          <w:color w:val="000000" w:themeColor="text1"/>
        </w:rPr>
        <w:t xml:space="preserve"> </w:t>
      </w:r>
      <w:r w:rsidR="005478A1">
        <w:rPr>
          <w:color w:val="000000" w:themeColor="text1"/>
        </w:rPr>
        <w:t>strike</w:t>
      </w:r>
      <w:r w:rsidR="004968D6">
        <w:rPr>
          <w:color w:val="000000" w:themeColor="text1"/>
        </w:rPr>
        <w:t xml:space="preserve"> price</w:t>
      </w:r>
      <w:r w:rsidR="005478A1">
        <w:rPr>
          <w:color w:val="000000" w:themeColor="text1"/>
        </w:rPr>
        <w:t>)</w:t>
      </w:r>
      <w:r>
        <w:rPr>
          <w:color w:val="000000" w:themeColor="text1"/>
        </w:rPr>
        <w:t xml:space="preserve">. The alternative of discounts that increase over time would be hard to calibrate and may increase the risk of generators accessing the backstop if the trajectory was </w:t>
      </w:r>
      <w:r w:rsidR="00965836">
        <w:rPr>
          <w:color w:val="000000" w:themeColor="text1"/>
        </w:rPr>
        <w:t>inaccurate.</w:t>
      </w:r>
    </w:p>
    <w:p w:rsidR="00965836" w:rsidRDefault="00965836" w:rsidP="00375975">
      <w:pPr>
        <w:pStyle w:val="ListParagraph"/>
        <w:numPr>
          <w:ilvl w:val="0"/>
          <w:numId w:val="31"/>
        </w:numPr>
        <w:pBdr>
          <w:top w:val="single" w:sz="4" w:space="1" w:color="auto"/>
          <w:left w:val="single" w:sz="4" w:space="4" w:color="auto"/>
          <w:right w:val="single" w:sz="4" w:space="4" w:color="auto"/>
        </w:pBdr>
        <w:spacing w:after="120" w:line="240" w:lineRule="auto"/>
        <w:contextualSpacing w:val="0"/>
        <w:rPr>
          <w:color w:val="000000" w:themeColor="text1"/>
        </w:rPr>
      </w:pPr>
      <w:r>
        <w:rPr>
          <w:color w:val="000000" w:themeColor="text1"/>
        </w:rPr>
        <w:t xml:space="preserve">We are using a </w:t>
      </w:r>
      <w:r w:rsidRPr="00965836">
        <w:rPr>
          <w:b/>
          <w:color w:val="000000" w:themeColor="text1"/>
        </w:rPr>
        <w:t>project finance model to understand the impact of different backstop PPA discounts</w:t>
      </w:r>
      <w:r>
        <w:rPr>
          <w:color w:val="000000" w:themeColor="text1"/>
        </w:rPr>
        <w:t xml:space="preserve"> under three scenarios:</w:t>
      </w:r>
    </w:p>
    <w:p w:rsidR="00965836" w:rsidRDefault="00965836" w:rsidP="00375975">
      <w:pPr>
        <w:pBdr>
          <w:top w:val="single" w:sz="4" w:space="1" w:color="auto"/>
          <w:left w:val="single" w:sz="4" w:space="4" w:color="auto"/>
          <w:right w:val="single" w:sz="4" w:space="4" w:color="auto"/>
        </w:pBdr>
        <w:tabs>
          <w:tab w:val="left" w:pos="709"/>
          <w:tab w:val="left" w:pos="993"/>
        </w:tabs>
        <w:spacing w:after="120" w:line="240" w:lineRule="auto"/>
        <w:ind w:left="993" w:hanging="993"/>
        <w:rPr>
          <w:color w:val="000000" w:themeColor="text1"/>
        </w:rPr>
      </w:pPr>
      <w:r>
        <w:rPr>
          <w:color w:val="000000" w:themeColor="text1"/>
        </w:rPr>
        <w:tab/>
        <w:t>-</w:t>
      </w:r>
      <w:r>
        <w:rPr>
          <w:color w:val="000000" w:themeColor="text1"/>
        </w:rPr>
        <w:tab/>
      </w:r>
      <w:r w:rsidRPr="00965836">
        <w:rPr>
          <w:color w:val="000000" w:themeColor="text1"/>
        </w:rPr>
        <w:t>A</w:t>
      </w:r>
      <w:r w:rsidR="00075BBD">
        <w:rPr>
          <w:color w:val="000000" w:themeColor="text1"/>
        </w:rPr>
        <w:t xml:space="preserve"> levered project with a</w:t>
      </w:r>
      <w:r w:rsidRPr="00965836">
        <w:rPr>
          <w:color w:val="000000" w:themeColor="text1"/>
        </w:rPr>
        <w:t xml:space="preserve"> 15-year PPA with a credit-worthy counterparty (</w:t>
      </w:r>
      <w:r w:rsidR="00075BBD">
        <w:rPr>
          <w:color w:val="000000" w:themeColor="text1"/>
        </w:rPr>
        <w:t>a reference scenario</w:t>
      </w:r>
      <w:r w:rsidR="005478A1">
        <w:rPr>
          <w:color w:val="000000" w:themeColor="text1"/>
        </w:rPr>
        <w:t>, as in the model the OLR has no impact on debt sizing or equity returns</w:t>
      </w:r>
      <w:r w:rsidRPr="00965836">
        <w:rPr>
          <w:color w:val="000000" w:themeColor="text1"/>
        </w:rPr>
        <w:t>)</w:t>
      </w:r>
      <w:r w:rsidR="00F363D3">
        <w:rPr>
          <w:color w:val="000000" w:themeColor="text1"/>
        </w:rPr>
        <w:t>;</w:t>
      </w:r>
    </w:p>
    <w:p w:rsidR="009D596F" w:rsidRPr="009D596F" w:rsidRDefault="009D596F" w:rsidP="009D596F">
      <w:pPr>
        <w:pBdr>
          <w:top w:val="single" w:sz="4" w:space="1" w:color="auto"/>
          <w:left w:val="single" w:sz="4" w:space="4" w:color="auto"/>
          <w:right w:val="single" w:sz="4" w:space="4" w:color="auto"/>
        </w:pBdr>
        <w:tabs>
          <w:tab w:val="left" w:pos="709"/>
          <w:tab w:val="left" w:pos="993"/>
        </w:tabs>
        <w:spacing w:after="120" w:line="240" w:lineRule="auto"/>
        <w:ind w:left="993" w:hanging="993"/>
        <w:rPr>
          <w:color w:val="000000" w:themeColor="text1"/>
        </w:rPr>
      </w:pPr>
      <w:r w:rsidRPr="009D596F">
        <w:rPr>
          <w:color w:val="000000" w:themeColor="text1"/>
        </w:rPr>
        <w:tab/>
        <w:t>-</w:t>
      </w:r>
      <w:r w:rsidRPr="009D596F">
        <w:rPr>
          <w:color w:val="000000" w:themeColor="text1"/>
        </w:rPr>
        <w:tab/>
        <w:t xml:space="preserve">An unlevered project receiving OLR revenues only (i.e. the </w:t>
      </w:r>
      <w:r>
        <w:rPr>
          <w:color w:val="000000" w:themeColor="text1"/>
        </w:rPr>
        <w:t>‘</w:t>
      </w:r>
      <w:r w:rsidRPr="009D596F">
        <w:rPr>
          <w:color w:val="000000" w:themeColor="text1"/>
        </w:rPr>
        <w:t>worst case</w:t>
      </w:r>
      <w:r>
        <w:rPr>
          <w:color w:val="000000" w:themeColor="text1"/>
        </w:rPr>
        <w:t>’ revenues</w:t>
      </w:r>
      <w:r w:rsidRPr="009D596F">
        <w:rPr>
          <w:color w:val="000000" w:themeColor="text1"/>
        </w:rPr>
        <w:t>)</w:t>
      </w:r>
      <w:r w:rsidR="00F363D3">
        <w:rPr>
          <w:color w:val="000000" w:themeColor="text1"/>
        </w:rPr>
        <w:t>;</w:t>
      </w:r>
    </w:p>
    <w:p w:rsidR="00965836" w:rsidRDefault="00965836" w:rsidP="00375975">
      <w:pPr>
        <w:pBdr>
          <w:top w:val="single" w:sz="4" w:space="1" w:color="auto"/>
          <w:left w:val="single" w:sz="4" w:space="4" w:color="auto"/>
          <w:right w:val="single" w:sz="4" w:space="4" w:color="auto"/>
        </w:pBdr>
        <w:tabs>
          <w:tab w:val="left" w:pos="709"/>
          <w:tab w:val="left" w:pos="993"/>
        </w:tabs>
        <w:spacing w:after="120" w:line="240" w:lineRule="auto"/>
        <w:ind w:left="993" w:hanging="993"/>
        <w:rPr>
          <w:color w:val="000000" w:themeColor="text1"/>
        </w:rPr>
      </w:pPr>
      <w:r>
        <w:rPr>
          <w:color w:val="000000" w:themeColor="text1"/>
        </w:rPr>
        <w:tab/>
        <w:t>-</w:t>
      </w:r>
      <w:r>
        <w:rPr>
          <w:color w:val="000000" w:themeColor="text1"/>
        </w:rPr>
        <w:tab/>
        <w:t>A</w:t>
      </w:r>
      <w:r w:rsidR="009D596F">
        <w:rPr>
          <w:color w:val="000000" w:themeColor="text1"/>
        </w:rPr>
        <w:t xml:space="preserve"> levered project with a</w:t>
      </w:r>
      <w:r>
        <w:rPr>
          <w:color w:val="000000" w:themeColor="text1"/>
        </w:rPr>
        <w:t xml:space="preserve"> 5-year PPA with a credit-worthy counterparty, followed by expected market revenues</w:t>
      </w:r>
      <w:r w:rsidR="00075BBD">
        <w:rPr>
          <w:color w:val="000000" w:themeColor="text1"/>
        </w:rPr>
        <w:t xml:space="preserve"> under a rolling 1-year PPA strategy</w:t>
      </w:r>
      <w:r w:rsidR="00F363D3">
        <w:rPr>
          <w:color w:val="000000" w:themeColor="text1"/>
        </w:rPr>
        <w:t>.</w:t>
      </w:r>
      <w:r>
        <w:rPr>
          <w:color w:val="000000" w:themeColor="text1"/>
        </w:rPr>
        <w:t xml:space="preserve"> </w:t>
      </w:r>
    </w:p>
    <w:p w:rsidR="00965836" w:rsidRDefault="009D596F" w:rsidP="009D596F">
      <w:pPr>
        <w:pStyle w:val="ListParagraph"/>
        <w:numPr>
          <w:ilvl w:val="0"/>
          <w:numId w:val="31"/>
        </w:numPr>
        <w:pBdr>
          <w:top w:val="single" w:sz="4" w:space="1" w:color="auto"/>
          <w:left w:val="single" w:sz="4" w:space="4" w:color="auto"/>
          <w:right w:val="single" w:sz="4" w:space="4" w:color="auto"/>
        </w:pBdr>
        <w:spacing w:after="120" w:line="240" w:lineRule="auto"/>
        <w:contextualSpacing w:val="0"/>
        <w:rPr>
          <w:color w:val="000000" w:themeColor="text1"/>
        </w:rPr>
      </w:pPr>
      <w:r>
        <w:rPr>
          <w:color w:val="000000" w:themeColor="text1"/>
        </w:rPr>
        <w:t xml:space="preserve">For the levered scenarios, gearing is calculated off </w:t>
      </w:r>
      <w:r w:rsidR="00965836">
        <w:rPr>
          <w:color w:val="000000" w:themeColor="text1"/>
        </w:rPr>
        <w:t xml:space="preserve">contracted revenues and OLR revenues alone, </w:t>
      </w:r>
      <w:r>
        <w:rPr>
          <w:color w:val="000000" w:themeColor="text1"/>
        </w:rPr>
        <w:t xml:space="preserve">while </w:t>
      </w:r>
      <w:r w:rsidR="00965836" w:rsidRPr="00965836">
        <w:rPr>
          <w:b/>
          <w:color w:val="000000" w:themeColor="text1"/>
        </w:rPr>
        <w:t>return to equity</w:t>
      </w:r>
      <w:r>
        <w:rPr>
          <w:b/>
          <w:color w:val="000000" w:themeColor="text1"/>
        </w:rPr>
        <w:t xml:space="preserve"> is</w:t>
      </w:r>
      <w:r w:rsidR="00965836">
        <w:rPr>
          <w:color w:val="000000" w:themeColor="text1"/>
        </w:rPr>
        <w:t xml:space="preserve"> based on expected market revenues for the life of the project.</w:t>
      </w:r>
    </w:p>
    <w:p w:rsidR="00965836" w:rsidRDefault="00965836" w:rsidP="00075BBD">
      <w:pPr>
        <w:pStyle w:val="ListParagraph"/>
        <w:numPr>
          <w:ilvl w:val="0"/>
          <w:numId w:val="31"/>
        </w:numPr>
        <w:pBdr>
          <w:top w:val="single" w:sz="4" w:space="1" w:color="auto"/>
          <w:left w:val="single" w:sz="4" w:space="4" w:color="auto"/>
          <w:right w:val="single" w:sz="4" w:space="4" w:color="auto"/>
        </w:pBdr>
        <w:spacing w:after="120" w:line="240" w:lineRule="auto"/>
        <w:contextualSpacing w:val="0"/>
        <w:rPr>
          <w:color w:val="000000" w:themeColor="text1"/>
        </w:rPr>
      </w:pPr>
      <w:r>
        <w:rPr>
          <w:color w:val="000000" w:themeColor="text1"/>
        </w:rPr>
        <w:t xml:space="preserve">We propose selecting a backstop PPA discount that is </w:t>
      </w:r>
      <w:r w:rsidR="00075BBD" w:rsidRPr="004376DF">
        <w:rPr>
          <w:b/>
          <w:color w:val="000000" w:themeColor="text1"/>
        </w:rPr>
        <w:t xml:space="preserve">substantially higher than </w:t>
      </w:r>
      <w:r w:rsidR="00075BBD">
        <w:rPr>
          <w:b/>
          <w:color w:val="000000" w:themeColor="text1"/>
        </w:rPr>
        <w:t>expected to be</w:t>
      </w:r>
      <w:r w:rsidR="00075BBD" w:rsidRPr="004376DF">
        <w:rPr>
          <w:b/>
          <w:color w:val="000000" w:themeColor="text1"/>
        </w:rPr>
        <w:t xml:space="preserve"> available in </w:t>
      </w:r>
      <w:r w:rsidR="00B0076E">
        <w:rPr>
          <w:b/>
          <w:color w:val="000000" w:themeColor="text1"/>
        </w:rPr>
        <w:t>the market</w:t>
      </w:r>
      <w:r w:rsidR="00075BBD" w:rsidRPr="00075BBD">
        <w:rPr>
          <w:color w:val="000000" w:themeColor="text1"/>
        </w:rPr>
        <w:t xml:space="preserve"> but </w:t>
      </w:r>
      <w:r>
        <w:rPr>
          <w:color w:val="000000" w:themeColor="text1"/>
        </w:rPr>
        <w:t xml:space="preserve">which enables </w:t>
      </w:r>
      <w:r w:rsidRPr="00965836">
        <w:rPr>
          <w:b/>
          <w:color w:val="000000" w:themeColor="text1"/>
        </w:rPr>
        <w:t>generators to get</w:t>
      </w:r>
      <w:r w:rsidR="008C2E3E">
        <w:rPr>
          <w:b/>
          <w:color w:val="000000" w:themeColor="text1"/>
        </w:rPr>
        <w:t xml:space="preserve"> broadly</w:t>
      </w:r>
      <w:r w:rsidRPr="00965836">
        <w:rPr>
          <w:b/>
          <w:color w:val="000000" w:themeColor="text1"/>
        </w:rPr>
        <w:t xml:space="preserve"> </w:t>
      </w:r>
      <w:r w:rsidR="005478A1">
        <w:rPr>
          <w:b/>
          <w:color w:val="000000" w:themeColor="text1"/>
        </w:rPr>
        <w:t xml:space="preserve">similar </w:t>
      </w:r>
      <w:r w:rsidR="00B0076E">
        <w:rPr>
          <w:b/>
          <w:color w:val="000000" w:themeColor="text1"/>
        </w:rPr>
        <w:t xml:space="preserve">or better </w:t>
      </w:r>
      <w:r w:rsidRPr="00965836">
        <w:rPr>
          <w:b/>
          <w:color w:val="000000" w:themeColor="text1"/>
        </w:rPr>
        <w:t>equity returns</w:t>
      </w:r>
      <w:r>
        <w:rPr>
          <w:color w:val="000000" w:themeColor="text1"/>
        </w:rPr>
        <w:t xml:space="preserve"> from a shorter-term contracting strategy as they would get in a 15-year PPA.</w:t>
      </w:r>
    </w:p>
    <w:p w:rsidR="00705D15" w:rsidRPr="0071783F" w:rsidRDefault="00965836" w:rsidP="00375975">
      <w:pPr>
        <w:pStyle w:val="ListParagraph"/>
        <w:numPr>
          <w:ilvl w:val="0"/>
          <w:numId w:val="31"/>
        </w:numPr>
        <w:pBdr>
          <w:top w:val="single" w:sz="4" w:space="1" w:color="auto"/>
          <w:left w:val="single" w:sz="4" w:space="4" w:color="auto"/>
          <w:right w:val="single" w:sz="4" w:space="4" w:color="auto"/>
        </w:pBdr>
        <w:spacing w:after="120" w:line="240" w:lineRule="auto"/>
        <w:contextualSpacing w:val="0"/>
        <w:rPr>
          <w:color w:val="000000" w:themeColor="text1"/>
        </w:rPr>
      </w:pPr>
      <w:r w:rsidRPr="0071783F">
        <w:rPr>
          <w:color w:val="000000" w:themeColor="text1"/>
        </w:rPr>
        <w:t xml:space="preserve">We </w:t>
      </w:r>
      <w:r w:rsidR="009F457A">
        <w:rPr>
          <w:color w:val="000000" w:themeColor="text1"/>
        </w:rPr>
        <w:t xml:space="preserve">discuss whether we should </w:t>
      </w:r>
      <w:r w:rsidRPr="0071783F">
        <w:rPr>
          <w:color w:val="000000" w:themeColor="text1"/>
        </w:rPr>
        <w:t xml:space="preserve">set a </w:t>
      </w:r>
      <w:r w:rsidRPr="0071783F">
        <w:rPr>
          <w:b/>
          <w:color w:val="000000" w:themeColor="text1"/>
        </w:rPr>
        <w:t>single backstop PPA discount</w:t>
      </w:r>
      <w:r w:rsidRPr="0071783F">
        <w:rPr>
          <w:color w:val="000000" w:themeColor="text1"/>
        </w:rPr>
        <w:t xml:space="preserve"> for all eligible generators</w:t>
      </w:r>
      <w:r w:rsidR="009F457A">
        <w:rPr>
          <w:color w:val="000000" w:themeColor="text1"/>
        </w:rPr>
        <w:t xml:space="preserve"> or should </w:t>
      </w:r>
      <w:r w:rsidR="009F457A" w:rsidRPr="004376DF">
        <w:rPr>
          <w:b/>
          <w:color w:val="000000" w:themeColor="text1"/>
        </w:rPr>
        <w:t>vary this by technology</w:t>
      </w:r>
      <w:r w:rsidR="009F457A">
        <w:rPr>
          <w:color w:val="000000" w:themeColor="text1"/>
        </w:rPr>
        <w:t>, and would welcome the group’s views on this</w:t>
      </w:r>
      <w:r w:rsidR="0071783F" w:rsidRPr="0071783F">
        <w:rPr>
          <w:color w:val="000000" w:themeColor="text1"/>
        </w:rPr>
        <w:t>.</w:t>
      </w:r>
    </w:p>
    <w:p w:rsidR="00D30507" w:rsidRPr="00A257CD" w:rsidRDefault="00D30507" w:rsidP="008274A5">
      <w:pPr>
        <w:pBdr>
          <w:top w:val="single" w:sz="4" w:space="1" w:color="auto"/>
          <w:left w:val="single" w:sz="4" w:space="4" w:color="auto"/>
          <w:right w:val="single" w:sz="4" w:space="4" w:color="auto"/>
        </w:pBdr>
        <w:spacing w:after="0"/>
        <w:rPr>
          <w:color w:val="000000" w:themeColor="text1"/>
        </w:rPr>
      </w:pPr>
    </w:p>
    <w:p w:rsidR="002F51B6" w:rsidRDefault="002F51B6" w:rsidP="008274A5">
      <w:pPr>
        <w:pBdr>
          <w:top w:val="single" w:sz="4" w:space="1" w:color="auto"/>
          <w:left w:val="single" w:sz="4" w:space="4" w:color="auto"/>
          <w:right w:val="single" w:sz="4" w:space="4" w:color="auto"/>
        </w:pBdr>
        <w:spacing w:after="0"/>
        <w:ind w:left="567" w:hanging="567"/>
        <w:rPr>
          <w:b/>
          <w:color w:val="000000" w:themeColor="text1"/>
        </w:rPr>
      </w:pPr>
      <w:r w:rsidRPr="00CA13DD">
        <w:rPr>
          <w:b/>
          <w:color w:val="000000" w:themeColor="text1"/>
        </w:rPr>
        <w:t>Key Questions:</w:t>
      </w:r>
    </w:p>
    <w:p w:rsidR="00B0076E" w:rsidRDefault="008274A5">
      <w:pPr>
        <w:pStyle w:val="TOC1"/>
        <w:rPr>
          <w:rFonts w:eastAsiaTheme="minorEastAsia"/>
          <w:lang w:eastAsia="en-GB"/>
        </w:rPr>
      </w:pPr>
      <w:r>
        <w:rPr>
          <w:color w:val="000000" w:themeColor="text1"/>
        </w:rPr>
        <w:fldChar w:fldCharType="begin"/>
      </w:r>
      <w:r>
        <w:rPr>
          <w:color w:val="000000" w:themeColor="text1"/>
        </w:rPr>
        <w:instrText xml:space="preserve"> TOC \n \h \z \t "Question,1" </w:instrText>
      </w:r>
      <w:r>
        <w:rPr>
          <w:color w:val="000000" w:themeColor="text1"/>
        </w:rPr>
        <w:fldChar w:fldCharType="separate"/>
      </w:r>
      <w:hyperlink w:anchor="_Toc372555928" w:history="1">
        <w:r w:rsidR="00B0076E" w:rsidRPr="00B10017">
          <w:rPr>
            <w:rStyle w:val="Hyperlink"/>
          </w:rPr>
          <w:t>Q1:</w:t>
        </w:r>
        <w:r w:rsidR="00B0076E">
          <w:rPr>
            <w:rFonts w:eastAsiaTheme="minorEastAsia"/>
            <w:lang w:eastAsia="en-GB"/>
          </w:rPr>
          <w:tab/>
        </w:r>
        <w:r w:rsidR="00B0076E" w:rsidRPr="00B10017">
          <w:rPr>
            <w:rStyle w:val="Hyperlink"/>
          </w:rPr>
          <w:t>Do you agree that discounts in backstop PPAs should be set on a £/MWh basis?</w:t>
        </w:r>
      </w:hyperlink>
    </w:p>
    <w:p w:rsidR="00B0076E" w:rsidRDefault="008C5F11">
      <w:pPr>
        <w:pStyle w:val="TOC1"/>
        <w:rPr>
          <w:rFonts w:eastAsiaTheme="minorEastAsia"/>
          <w:lang w:eastAsia="en-GB"/>
        </w:rPr>
      </w:pPr>
      <w:hyperlink w:anchor="_Toc372555929" w:history="1">
        <w:r w:rsidR="00B0076E" w:rsidRPr="00B10017">
          <w:rPr>
            <w:rStyle w:val="Hyperlink"/>
          </w:rPr>
          <w:t>Q2:</w:t>
        </w:r>
        <w:r w:rsidR="00B0076E">
          <w:rPr>
            <w:rFonts w:eastAsiaTheme="minorEastAsia"/>
            <w:lang w:eastAsia="en-GB"/>
          </w:rPr>
          <w:tab/>
        </w:r>
        <w:r w:rsidR="00B0076E" w:rsidRPr="00B10017">
          <w:rPr>
            <w:rStyle w:val="Hyperlink"/>
          </w:rPr>
          <w:t>Do you agree that discounts should be fixed for the duration of a generator’s CfD?</w:t>
        </w:r>
      </w:hyperlink>
    </w:p>
    <w:p w:rsidR="00B0076E" w:rsidRDefault="008C5F11">
      <w:pPr>
        <w:pStyle w:val="TOC1"/>
        <w:rPr>
          <w:rFonts w:eastAsiaTheme="minorEastAsia"/>
          <w:lang w:eastAsia="en-GB"/>
        </w:rPr>
      </w:pPr>
      <w:hyperlink w:anchor="_Toc372555930" w:history="1">
        <w:r w:rsidR="00B0076E" w:rsidRPr="00B10017">
          <w:rPr>
            <w:rStyle w:val="Hyperlink"/>
          </w:rPr>
          <w:t>Q3:</w:t>
        </w:r>
        <w:r w:rsidR="00B0076E">
          <w:rPr>
            <w:rFonts w:eastAsiaTheme="minorEastAsia"/>
            <w:lang w:eastAsia="en-GB"/>
          </w:rPr>
          <w:tab/>
        </w:r>
        <w:r w:rsidR="00B0076E" w:rsidRPr="00B10017">
          <w:rPr>
            <w:rStyle w:val="Hyperlink"/>
          </w:rPr>
          <w:t>Do you agree that discounts should be indexed to CPI, in line with the CfD strike price?</w:t>
        </w:r>
      </w:hyperlink>
    </w:p>
    <w:p w:rsidR="00B0076E" w:rsidRDefault="008C5F11">
      <w:pPr>
        <w:pStyle w:val="TOC1"/>
        <w:rPr>
          <w:rFonts w:eastAsiaTheme="minorEastAsia"/>
          <w:lang w:eastAsia="en-GB"/>
        </w:rPr>
      </w:pPr>
      <w:hyperlink w:anchor="_Toc372555931" w:history="1">
        <w:r w:rsidR="00B0076E" w:rsidRPr="00B10017">
          <w:rPr>
            <w:rStyle w:val="Hyperlink"/>
          </w:rPr>
          <w:t>Q4:</w:t>
        </w:r>
        <w:r w:rsidR="00B0076E">
          <w:rPr>
            <w:rFonts w:eastAsiaTheme="minorEastAsia"/>
            <w:lang w:eastAsia="en-GB"/>
          </w:rPr>
          <w:tab/>
        </w:r>
        <w:r w:rsidR="00B0076E" w:rsidRPr="00B10017">
          <w:rPr>
            <w:rStyle w:val="Hyperlink"/>
          </w:rPr>
          <w:t>Do you agree with our general approach to understanding the impact of different discounts?</w:t>
        </w:r>
      </w:hyperlink>
    </w:p>
    <w:p w:rsidR="00B0076E" w:rsidRDefault="008C5F11">
      <w:pPr>
        <w:pStyle w:val="TOC1"/>
        <w:rPr>
          <w:rFonts w:eastAsiaTheme="minorEastAsia"/>
          <w:lang w:eastAsia="en-GB"/>
        </w:rPr>
      </w:pPr>
      <w:hyperlink w:anchor="_Toc372555932" w:history="1">
        <w:r w:rsidR="00B0076E" w:rsidRPr="00B10017">
          <w:rPr>
            <w:rStyle w:val="Hyperlink"/>
          </w:rPr>
          <w:t>Q5:</w:t>
        </w:r>
        <w:r w:rsidR="00B0076E">
          <w:rPr>
            <w:rFonts w:eastAsiaTheme="minorEastAsia"/>
            <w:lang w:eastAsia="en-GB"/>
          </w:rPr>
          <w:tab/>
        </w:r>
        <w:r w:rsidR="00B0076E" w:rsidRPr="00B10017">
          <w:rPr>
            <w:rStyle w:val="Hyperlink"/>
          </w:rPr>
          <w:t>Do you agree with the proposed criteria for selecting a backstop PPA discount?</w:t>
        </w:r>
      </w:hyperlink>
    </w:p>
    <w:p w:rsidR="00B0076E" w:rsidRDefault="008C5F11">
      <w:pPr>
        <w:pStyle w:val="TOC1"/>
        <w:rPr>
          <w:rFonts w:eastAsiaTheme="minorEastAsia"/>
          <w:lang w:eastAsia="en-GB"/>
        </w:rPr>
      </w:pPr>
      <w:hyperlink w:anchor="_Toc372555933" w:history="1">
        <w:r w:rsidR="00B0076E" w:rsidRPr="00B10017">
          <w:rPr>
            <w:rStyle w:val="Hyperlink"/>
          </w:rPr>
          <w:t>Q6:</w:t>
        </w:r>
        <w:r w:rsidR="00B0076E">
          <w:rPr>
            <w:rFonts w:eastAsiaTheme="minorEastAsia"/>
            <w:lang w:eastAsia="en-GB"/>
          </w:rPr>
          <w:tab/>
        </w:r>
        <w:r w:rsidR="00B0076E" w:rsidRPr="00B10017">
          <w:rPr>
            <w:rStyle w:val="Hyperlink"/>
          </w:rPr>
          <w:t>Does the group agree with our assessment of the different approaches to tailoring discounts to technologies?</w:t>
        </w:r>
      </w:hyperlink>
    </w:p>
    <w:p w:rsidR="00B0076E" w:rsidRDefault="008C5F11">
      <w:pPr>
        <w:pStyle w:val="TOC1"/>
        <w:rPr>
          <w:rFonts w:eastAsiaTheme="minorEastAsia"/>
          <w:lang w:eastAsia="en-GB"/>
        </w:rPr>
      </w:pPr>
      <w:hyperlink w:anchor="_Toc372555934" w:history="1">
        <w:r w:rsidR="00B0076E" w:rsidRPr="00B10017">
          <w:rPr>
            <w:rStyle w:val="Hyperlink"/>
          </w:rPr>
          <w:t>Q7:</w:t>
        </w:r>
        <w:r w:rsidR="00B0076E">
          <w:rPr>
            <w:rFonts w:eastAsiaTheme="minorEastAsia"/>
            <w:lang w:eastAsia="en-GB"/>
          </w:rPr>
          <w:tab/>
        </w:r>
        <w:r w:rsidR="00B0076E" w:rsidRPr="00B10017">
          <w:rPr>
            <w:rStyle w:val="Hyperlink"/>
          </w:rPr>
          <w:t>Which approach does the group consider strikes the best overall balance?</w:t>
        </w:r>
      </w:hyperlink>
    </w:p>
    <w:p w:rsidR="008B1AE7" w:rsidRPr="0071783F" w:rsidRDefault="008274A5" w:rsidP="008274A5">
      <w:pPr>
        <w:pBdr>
          <w:left w:val="single" w:sz="4" w:space="4" w:color="auto"/>
          <w:bottom w:val="single" w:sz="4" w:space="1" w:color="auto"/>
          <w:right w:val="single" w:sz="4" w:space="4" w:color="auto"/>
        </w:pBdr>
        <w:spacing w:before="120" w:after="0"/>
        <w:rPr>
          <w:color w:val="000000" w:themeColor="text1"/>
        </w:rPr>
      </w:pPr>
      <w:r>
        <w:rPr>
          <w:color w:val="000000" w:themeColor="text1"/>
        </w:rPr>
        <w:fldChar w:fldCharType="end"/>
      </w:r>
    </w:p>
    <w:p w:rsidR="00CA13DD" w:rsidRPr="00A6384D" w:rsidRDefault="00083F25" w:rsidP="00A6384D">
      <w:pPr>
        <w:pStyle w:val="Heading1"/>
      </w:pPr>
      <w:r w:rsidRPr="00A6384D">
        <w:lastRenderedPageBreak/>
        <w:t>Introduction</w:t>
      </w:r>
    </w:p>
    <w:p w:rsidR="00A6384D" w:rsidRDefault="00A6384D" w:rsidP="00A6384D">
      <w:r>
        <w:t>This paper is concerned with how the discount in backstop PPAs should be set. Specifically, it considers:</w:t>
      </w:r>
    </w:p>
    <w:p w:rsidR="00A6384D" w:rsidRDefault="00A6384D" w:rsidP="00A6384D">
      <w:pPr>
        <w:pStyle w:val="ListParagraph"/>
        <w:numPr>
          <w:ilvl w:val="0"/>
          <w:numId w:val="35"/>
        </w:numPr>
      </w:pPr>
      <w:r>
        <w:t>the nature of the discount (e.g. % of the reference price or £/MWh fee, constant or varied over time, and indexation);</w:t>
      </w:r>
    </w:p>
    <w:p w:rsidR="00A6384D" w:rsidRDefault="00A6384D" w:rsidP="00A6384D">
      <w:pPr>
        <w:pStyle w:val="ListParagraph"/>
        <w:numPr>
          <w:ilvl w:val="0"/>
          <w:numId w:val="35"/>
        </w:numPr>
      </w:pPr>
      <w:r>
        <w:t>the methodology for determining the discount</w:t>
      </w:r>
      <w:r w:rsidR="000B5F2C">
        <w:t xml:space="preserve">, including the </w:t>
      </w:r>
      <w:r>
        <w:t>inputs used to model the</w:t>
      </w:r>
      <w:r w:rsidR="00F363D3">
        <w:t xml:space="preserve"> potential impact of differing</w:t>
      </w:r>
      <w:r>
        <w:t xml:space="preserve"> </w:t>
      </w:r>
      <w:r w:rsidR="00B1003B">
        <w:t xml:space="preserve">levels of </w:t>
      </w:r>
      <w:r>
        <w:t xml:space="preserve">discount; </w:t>
      </w:r>
    </w:p>
    <w:p w:rsidR="00A6384D" w:rsidRDefault="00A6384D" w:rsidP="00A6384D">
      <w:pPr>
        <w:pStyle w:val="ListParagraph"/>
        <w:numPr>
          <w:ilvl w:val="0"/>
          <w:numId w:val="35"/>
        </w:numPr>
      </w:pPr>
      <w:proofErr w:type="gramStart"/>
      <w:r>
        <w:t>whether</w:t>
      </w:r>
      <w:proofErr w:type="gramEnd"/>
      <w:r>
        <w:t xml:space="preserve"> the discount should vary for different technologies or classes of generator.</w:t>
      </w:r>
    </w:p>
    <w:p w:rsidR="00A6384D" w:rsidRDefault="00DA756C" w:rsidP="00A6384D">
      <w:r>
        <w:t>I</w:t>
      </w:r>
      <w:r w:rsidR="00A6384D">
        <w:t xml:space="preserve">ndicative results from modelling the impact of </w:t>
      </w:r>
      <w:r w:rsidR="00162C80">
        <w:t xml:space="preserve">various </w:t>
      </w:r>
      <w:r w:rsidR="00A6384D">
        <w:t>discounts on</w:t>
      </w:r>
      <w:r>
        <w:t xml:space="preserve"> certain classes of generator will be presented at the meeting (modelling is still in progress).</w:t>
      </w:r>
    </w:p>
    <w:p w:rsidR="00162C80" w:rsidRPr="00A6384D" w:rsidRDefault="00162C80" w:rsidP="00A6384D"/>
    <w:p w:rsidR="007617AF" w:rsidRDefault="001A1F30" w:rsidP="00A6384D">
      <w:pPr>
        <w:pStyle w:val="Heading1"/>
      </w:pPr>
      <w:r w:rsidRPr="00F42319">
        <w:lastRenderedPageBreak/>
        <w:t>Assessment Criteria</w:t>
      </w:r>
    </w:p>
    <w:p w:rsidR="00162C80" w:rsidRDefault="0094522F" w:rsidP="00F62A7F">
      <w:r>
        <w:t xml:space="preserve">In setting the level of </w:t>
      </w:r>
      <w:r w:rsidR="00162C80">
        <w:t>discount in backstop PPAs</w:t>
      </w:r>
      <w:r>
        <w:t>, the general principles should be</w:t>
      </w:r>
      <w:r w:rsidR="00162C80">
        <w:t xml:space="preserve"> (a) </w:t>
      </w:r>
      <w:r>
        <w:t>that it is</w:t>
      </w:r>
      <w:r w:rsidR="00162C80">
        <w:t xml:space="preserve"> large enough that it represents a genuine ‘last resort’ – i.e. it exceeds expected route to market costs; and (b) it provides sufficient protection to generators to allow them more flexibility in their contracting strategy. </w:t>
      </w:r>
    </w:p>
    <w:p w:rsidR="007617AF" w:rsidRDefault="00162C80" w:rsidP="00F62A7F">
      <w:r>
        <w:t xml:space="preserve">Specific proposed assessment </w:t>
      </w:r>
      <w:r w:rsidR="00BA13E4">
        <w:t xml:space="preserve">criteria </w:t>
      </w:r>
      <w:r>
        <w:t xml:space="preserve">are </w:t>
      </w:r>
      <w:r w:rsidR="00BA13E4">
        <w:t xml:space="preserve">set out in Table </w:t>
      </w:r>
      <w:r w:rsidR="007617AF" w:rsidRPr="00BA13E4">
        <w:t>1</w:t>
      </w:r>
      <w:r w:rsidR="007617AF">
        <w:t xml:space="preserve"> below.</w:t>
      </w:r>
    </w:p>
    <w:p w:rsidR="007617AF" w:rsidRDefault="00BA13E4" w:rsidP="007617AF">
      <w:pPr>
        <w:rPr>
          <w:b/>
        </w:rPr>
      </w:pPr>
      <w:r w:rsidRPr="00BA13E4">
        <w:rPr>
          <w:b/>
        </w:rPr>
        <w:t xml:space="preserve">Table </w:t>
      </w:r>
      <w:r w:rsidR="007617AF" w:rsidRPr="00BA13E4">
        <w:rPr>
          <w:b/>
        </w:rPr>
        <w:t>1</w:t>
      </w:r>
      <w:r w:rsidR="007617AF" w:rsidRPr="007617AF">
        <w:rPr>
          <w:b/>
        </w:rPr>
        <w:t>: Assessment criteria</w:t>
      </w:r>
    </w:p>
    <w:tbl>
      <w:tblPr>
        <w:tblW w:w="0" w:type="auto"/>
        <w:tblInd w:w="108" w:type="dxa"/>
        <w:tblCellMar>
          <w:left w:w="0" w:type="dxa"/>
          <w:right w:w="0" w:type="dxa"/>
        </w:tblCellMar>
        <w:tblLook w:val="04A0" w:firstRow="1" w:lastRow="0" w:firstColumn="1" w:lastColumn="0" w:noHBand="0" w:noVBand="1"/>
      </w:tblPr>
      <w:tblGrid>
        <w:gridCol w:w="2622"/>
        <w:gridCol w:w="6512"/>
      </w:tblGrid>
      <w:tr w:rsidR="00A2393A" w:rsidTr="00A6384D">
        <w:tc>
          <w:tcPr>
            <w:tcW w:w="2622" w:type="dxa"/>
            <w:tcBorders>
              <w:top w:val="single" w:sz="8" w:space="0" w:color="4F81BD"/>
              <w:left w:val="single" w:sz="8" w:space="0" w:color="4F81BD"/>
              <w:bottom w:val="single" w:sz="8" w:space="0" w:color="4F81BD"/>
              <w:right w:val="single" w:sz="8" w:space="0" w:color="4F81BD"/>
            </w:tcBorders>
            <w:shd w:val="clear" w:color="auto" w:fill="4F81BD"/>
            <w:tcMar>
              <w:top w:w="0" w:type="dxa"/>
              <w:left w:w="108" w:type="dxa"/>
              <w:bottom w:w="0" w:type="dxa"/>
              <w:right w:w="108" w:type="dxa"/>
            </w:tcMar>
            <w:vAlign w:val="center"/>
            <w:hideMark/>
          </w:tcPr>
          <w:p w:rsidR="00A2393A" w:rsidRDefault="00A2393A" w:rsidP="00F26BF4">
            <w:pPr>
              <w:spacing w:beforeLines="60" w:before="144" w:afterLines="60" w:after="144" w:line="240" w:lineRule="auto"/>
              <w:rPr>
                <w:rFonts w:ascii="Calibri" w:hAnsi="Calibri"/>
                <w:b/>
                <w:bCs/>
                <w:color w:val="FFFFFF"/>
              </w:rPr>
            </w:pPr>
            <w:r>
              <w:rPr>
                <w:b/>
                <w:bCs/>
                <w:color w:val="FFFFFF"/>
              </w:rPr>
              <w:t>Criteria</w:t>
            </w:r>
          </w:p>
        </w:tc>
        <w:tc>
          <w:tcPr>
            <w:tcW w:w="6512" w:type="dxa"/>
            <w:tcBorders>
              <w:top w:val="single" w:sz="8" w:space="0" w:color="4F81BD"/>
              <w:left w:val="nil"/>
              <w:bottom w:val="single" w:sz="8" w:space="0" w:color="4F81BD"/>
              <w:right w:val="single" w:sz="8" w:space="0" w:color="4F81BD"/>
            </w:tcBorders>
            <w:shd w:val="clear" w:color="auto" w:fill="4F81BD"/>
            <w:tcMar>
              <w:top w:w="0" w:type="dxa"/>
              <w:left w:w="108" w:type="dxa"/>
              <w:bottom w:w="0" w:type="dxa"/>
              <w:right w:w="108" w:type="dxa"/>
            </w:tcMar>
            <w:vAlign w:val="center"/>
            <w:hideMark/>
          </w:tcPr>
          <w:p w:rsidR="00A2393A" w:rsidRDefault="00A2393A" w:rsidP="00F26BF4">
            <w:pPr>
              <w:spacing w:beforeLines="60" w:before="144" w:afterLines="60" w:after="144" w:line="240" w:lineRule="auto"/>
              <w:rPr>
                <w:rFonts w:ascii="Calibri" w:hAnsi="Calibri"/>
                <w:b/>
                <w:bCs/>
                <w:color w:val="FFFFFF"/>
              </w:rPr>
            </w:pPr>
            <w:r>
              <w:rPr>
                <w:b/>
                <w:bCs/>
                <w:color w:val="FFFFFF"/>
              </w:rPr>
              <w:t>Description</w:t>
            </w:r>
          </w:p>
        </w:tc>
      </w:tr>
      <w:tr w:rsidR="00A6384D" w:rsidRPr="00A40F87" w:rsidTr="00A6384D">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vAlign w:val="center"/>
          </w:tcPr>
          <w:p w:rsidR="00A6384D" w:rsidRPr="007617AF" w:rsidRDefault="00A6384D" w:rsidP="00F26BF4">
            <w:pPr>
              <w:spacing w:beforeLines="60" w:before="144" w:afterLines="60" w:after="144" w:line="240" w:lineRule="auto"/>
              <w:rPr>
                <w:b/>
              </w:rPr>
            </w:pPr>
            <w:r w:rsidRPr="007617AF">
              <w:rPr>
                <w:b/>
              </w:rPr>
              <w:t>Availability of financeable routes to market for independents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vAlign w:val="center"/>
          </w:tcPr>
          <w:p w:rsidR="00A6384D" w:rsidRPr="00A6384D" w:rsidRDefault="00A6384D" w:rsidP="00F26BF4">
            <w:pPr>
              <w:pStyle w:val="ListParagraph"/>
              <w:numPr>
                <w:ilvl w:val="0"/>
                <w:numId w:val="3"/>
              </w:numPr>
              <w:spacing w:beforeLines="60" w:before="144" w:afterLines="60" w:after="144" w:line="240" w:lineRule="auto"/>
              <w:ind w:left="425" w:hanging="283"/>
              <w:contextualSpacing w:val="0"/>
              <w:rPr>
                <w:rFonts w:eastAsia="Times New Roman" w:cstheme="minorHAnsi"/>
                <w:color w:val="000000"/>
                <w:lang w:eastAsia="en-GB"/>
              </w:rPr>
            </w:pPr>
            <w:r w:rsidRPr="00A6384D">
              <w:rPr>
                <w:rFonts w:eastAsia="Times New Roman" w:cstheme="minorHAnsi"/>
                <w:color w:val="000000"/>
                <w:lang w:eastAsia="en-GB"/>
              </w:rPr>
              <w:t>The pricing in the Backstop PPA should provide sufficient levels of protection to enable generators to take a more flexible approach to PPA tenor and counterparty risk.</w:t>
            </w:r>
          </w:p>
        </w:tc>
      </w:tr>
      <w:tr w:rsidR="00331A20" w:rsidRPr="00A40F87" w:rsidTr="00B0076E">
        <w:trPr>
          <w:trHeight w:val="935"/>
        </w:trPr>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vAlign w:val="center"/>
          </w:tcPr>
          <w:p w:rsidR="00331A20" w:rsidRPr="007617AF" w:rsidRDefault="00331A20" w:rsidP="00F26BF4">
            <w:pPr>
              <w:spacing w:beforeLines="60" w:before="144" w:afterLines="60" w:after="144" w:line="240" w:lineRule="auto"/>
              <w:rPr>
                <w:b/>
              </w:rPr>
            </w:pPr>
            <w:r>
              <w:rPr>
                <w:b/>
              </w:rPr>
              <w:t>Minimise system costs</w:t>
            </w:r>
          </w:p>
        </w:tc>
        <w:tc>
          <w:tcPr>
            <w:tcW w:w="6512" w:type="dxa"/>
            <w:vMerge w:val="restart"/>
            <w:tcBorders>
              <w:top w:val="nil"/>
              <w:left w:val="nil"/>
              <w:right w:val="single" w:sz="8" w:space="0" w:color="4F81BD"/>
            </w:tcBorders>
            <w:tcMar>
              <w:top w:w="0" w:type="dxa"/>
              <w:left w:w="108" w:type="dxa"/>
              <w:bottom w:w="0" w:type="dxa"/>
              <w:right w:w="108" w:type="dxa"/>
            </w:tcMar>
            <w:vAlign w:val="center"/>
          </w:tcPr>
          <w:p w:rsidR="00331A20" w:rsidRPr="00A6384D" w:rsidRDefault="00331A20" w:rsidP="00F26BF4">
            <w:pPr>
              <w:pStyle w:val="ListParagraph"/>
              <w:numPr>
                <w:ilvl w:val="0"/>
                <w:numId w:val="3"/>
              </w:numPr>
              <w:spacing w:beforeLines="60" w:before="144" w:afterLines="60" w:after="144" w:line="240" w:lineRule="auto"/>
              <w:ind w:left="425" w:hanging="283"/>
              <w:rPr>
                <w:rFonts w:eastAsia="Times New Roman" w:cstheme="minorHAnsi"/>
                <w:color w:val="000000"/>
                <w:lang w:eastAsia="en-GB"/>
              </w:rPr>
            </w:pPr>
            <w:r w:rsidRPr="00A6384D">
              <w:rPr>
                <w:rFonts w:eastAsia="Times New Roman" w:cstheme="minorHAnsi"/>
                <w:color w:val="000000"/>
                <w:lang w:eastAsia="en-GB"/>
              </w:rPr>
              <w:t>The pricing in the backstop should minimise the risk of the OLR being triggered</w:t>
            </w:r>
            <w:r>
              <w:rPr>
                <w:rFonts w:eastAsia="Times New Roman" w:cstheme="minorHAnsi"/>
                <w:color w:val="000000"/>
                <w:lang w:eastAsia="en-GB"/>
              </w:rPr>
              <w:t>, which would result in removing balancing incentives from generators</w:t>
            </w:r>
            <w:r w:rsidRPr="00A6384D">
              <w:rPr>
                <w:rFonts w:eastAsia="Times New Roman" w:cstheme="minorHAnsi"/>
                <w:color w:val="000000"/>
                <w:lang w:eastAsia="en-GB"/>
              </w:rPr>
              <w:t xml:space="preserve"> </w:t>
            </w:r>
            <w:r>
              <w:rPr>
                <w:rFonts w:eastAsia="Times New Roman" w:cstheme="minorHAnsi"/>
                <w:color w:val="000000"/>
                <w:lang w:eastAsia="en-GB"/>
              </w:rPr>
              <w:t xml:space="preserve">(and therefore potentially increasing costs to consumers), and having an impact on </w:t>
            </w:r>
            <w:r w:rsidRPr="00A6384D">
              <w:rPr>
                <w:rFonts w:eastAsia="Times New Roman" w:cstheme="minorHAnsi"/>
                <w:color w:val="000000"/>
                <w:lang w:eastAsia="en-GB"/>
              </w:rPr>
              <w:t xml:space="preserve">suppliers (both in term of being providers of backstop PPAs as well as funders of </w:t>
            </w:r>
            <w:proofErr w:type="spellStart"/>
            <w:r w:rsidRPr="00A6384D">
              <w:rPr>
                <w:rFonts w:eastAsia="Times New Roman" w:cstheme="minorHAnsi"/>
                <w:color w:val="000000"/>
                <w:lang w:eastAsia="en-GB"/>
              </w:rPr>
              <w:t>levelisation</w:t>
            </w:r>
            <w:proofErr w:type="spellEnd"/>
            <w:r w:rsidRPr="00A6384D">
              <w:rPr>
                <w:rFonts w:eastAsia="Times New Roman" w:cstheme="minorHAnsi"/>
                <w:color w:val="000000"/>
                <w:lang w:eastAsia="en-GB"/>
              </w:rPr>
              <w:t>).</w:t>
            </w:r>
          </w:p>
        </w:tc>
      </w:tr>
      <w:tr w:rsidR="00331A20" w:rsidRPr="00A40F87" w:rsidTr="00B0076E">
        <w:trPr>
          <w:trHeight w:val="935"/>
        </w:trPr>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vAlign w:val="center"/>
          </w:tcPr>
          <w:p w:rsidR="00331A20" w:rsidRPr="007617AF" w:rsidRDefault="00331A20" w:rsidP="00F26BF4">
            <w:pPr>
              <w:spacing w:beforeLines="60" w:before="144" w:afterLines="60" w:after="144" w:line="240" w:lineRule="auto"/>
              <w:rPr>
                <w:b/>
              </w:rPr>
            </w:pPr>
            <w:r w:rsidRPr="007617AF">
              <w:rPr>
                <w:b/>
              </w:rPr>
              <w:t xml:space="preserve">Impact on suppliers </w:t>
            </w:r>
          </w:p>
        </w:tc>
        <w:tc>
          <w:tcPr>
            <w:tcW w:w="6512" w:type="dxa"/>
            <w:vMerge/>
            <w:tcBorders>
              <w:left w:val="nil"/>
              <w:bottom w:val="single" w:sz="8" w:space="0" w:color="4F81BD"/>
              <w:right w:val="single" w:sz="8" w:space="0" w:color="4F81BD"/>
            </w:tcBorders>
            <w:tcMar>
              <w:top w:w="0" w:type="dxa"/>
              <w:left w:w="108" w:type="dxa"/>
              <w:bottom w:w="0" w:type="dxa"/>
              <w:right w:w="108" w:type="dxa"/>
            </w:tcMar>
            <w:vAlign w:val="center"/>
          </w:tcPr>
          <w:p w:rsidR="00331A20" w:rsidRPr="00A6384D" w:rsidRDefault="00331A20" w:rsidP="00F26BF4">
            <w:pPr>
              <w:pStyle w:val="ListParagraph"/>
              <w:numPr>
                <w:ilvl w:val="0"/>
                <w:numId w:val="3"/>
              </w:numPr>
              <w:spacing w:beforeLines="60" w:before="144" w:afterLines="60" w:after="144" w:line="240" w:lineRule="auto"/>
              <w:ind w:left="425" w:hanging="283"/>
              <w:contextualSpacing w:val="0"/>
              <w:rPr>
                <w:rFonts w:eastAsia="Times New Roman" w:cstheme="minorHAnsi"/>
                <w:color w:val="000000"/>
                <w:lang w:eastAsia="en-GB"/>
              </w:rPr>
            </w:pPr>
          </w:p>
        </w:tc>
      </w:tr>
      <w:tr w:rsidR="00A6384D" w:rsidTr="00A6384D">
        <w:tc>
          <w:tcPr>
            <w:tcW w:w="2622" w:type="dxa"/>
            <w:tcBorders>
              <w:top w:val="nil"/>
              <w:left w:val="single" w:sz="8" w:space="0" w:color="4F81BD"/>
              <w:bottom w:val="single" w:sz="8" w:space="0" w:color="4F81BD"/>
              <w:right w:val="single" w:sz="8" w:space="0" w:color="4F81BD"/>
            </w:tcBorders>
            <w:tcMar>
              <w:top w:w="0" w:type="dxa"/>
              <w:left w:w="108" w:type="dxa"/>
              <w:bottom w:w="0" w:type="dxa"/>
              <w:right w:w="108" w:type="dxa"/>
            </w:tcMar>
            <w:vAlign w:val="center"/>
          </w:tcPr>
          <w:p w:rsidR="00A6384D" w:rsidRPr="007617AF" w:rsidRDefault="00A6384D" w:rsidP="00F26BF4">
            <w:pPr>
              <w:spacing w:beforeLines="60" w:before="144" w:afterLines="60" w:after="144" w:line="240" w:lineRule="auto"/>
              <w:rPr>
                <w:b/>
              </w:rPr>
            </w:pPr>
            <w:r w:rsidRPr="007617AF">
              <w:rPr>
                <w:b/>
              </w:rPr>
              <w:t>Potential for market distortions</w:t>
            </w:r>
          </w:p>
        </w:tc>
        <w:tc>
          <w:tcPr>
            <w:tcW w:w="6512" w:type="dxa"/>
            <w:tcBorders>
              <w:top w:val="nil"/>
              <w:left w:val="nil"/>
              <w:bottom w:val="single" w:sz="8" w:space="0" w:color="4F81BD"/>
              <w:right w:val="single" w:sz="8" w:space="0" w:color="4F81BD"/>
            </w:tcBorders>
            <w:tcMar>
              <w:top w:w="0" w:type="dxa"/>
              <w:left w:w="108" w:type="dxa"/>
              <w:bottom w:w="0" w:type="dxa"/>
              <w:right w:w="108" w:type="dxa"/>
            </w:tcMar>
            <w:vAlign w:val="center"/>
          </w:tcPr>
          <w:p w:rsidR="00A6384D" w:rsidRPr="00A6384D" w:rsidRDefault="00A6384D" w:rsidP="00F26BF4">
            <w:pPr>
              <w:pStyle w:val="ListParagraph"/>
              <w:numPr>
                <w:ilvl w:val="0"/>
                <w:numId w:val="3"/>
              </w:numPr>
              <w:spacing w:beforeLines="60" w:before="144" w:afterLines="60" w:after="144" w:line="240" w:lineRule="auto"/>
              <w:ind w:left="425" w:hanging="283"/>
              <w:contextualSpacing w:val="0"/>
              <w:rPr>
                <w:rFonts w:eastAsia="Times New Roman" w:cstheme="minorHAnsi"/>
                <w:color w:val="000000"/>
                <w:lang w:eastAsia="en-GB"/>
              </w:rPr>
            </w:pPr>
            <w:r w:rsidRPr="00A6384D">
              <w:rPr>
                <w:rFonts w:eastAsia="Times New Roman" w:cstheme="minorHAnsi"/>
                <w:color w:val="000000"/>
                <w:lang w:eastAsia="en-GB"/>
              </w:rPr>
              <w:t>The pricing of the backstop PPA should be such that it minimises distortions in (a) the PPA market (i.e. that it is used as a last resort) and (b) generators’ capital structures</w:t>
            </w:r>
            <w:r w:rsidR="00F26BF4">
              <w:rPr>
                <w:rFonts w:eastAsia="Times New Roman" w:cstheme="minorHAnsi"/>
                <w:color w:val="000000"/>
                <w:lang w:eastAsia="en-GB"/>
              </w:rPr>
              <w:t>, and (c) capital allocations between technologies</w:t>
            </w:r>
            <w:r w:rsidRPr="00A6384D">
              <w:rPr>
                <w:rFonts w:eastAsia="Times New Roman" w:cstheme="minorHAnsi"/>
                <w:color w:val="000000"/>
                <w:lang w:eastAsia="en-GB"/>
              </w:rPr>
              <w:t>.</w:t>
            </w:r>
          </w:p>
        </w:tc>
      </w:tr>
      <w:tr w:rsidR="00A6384D" w:rsidRPr="00400395" w:rsidTr="00A6384D">
        <w:trPr>
          <w:trHeight w:val="80"/>
        </w:trPr>
        <w:tc>
          <w:tcPr>
            <w:tcW w:w="2622"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vAlign w:val="center"/>
          </w:tcPr>
          <w:p w:rsidR="00A6384D" w:rsidRPr="007617AF" w:rsidRDefault="00A6384D" w:rsidP="00F26BF4">
            <w:pPr>
              <w:spacing w:beforeLines="60" w:before="144" w:afterLines="60" w:after="144" w:line="240" w:lineRule="auto"/>
              <w:rPr>
                <w:b/>
              </w:rPr>
            </w:pPr>
            <w:r w:rsidRPr="007617AF">
              <w:rPr>
                <w:b/>
              </w:rPr>
              <w:t>Practicality and cost of implementation and administration</w:t>
            </w:r>
          </w:p>
        </w:tc>
        <w:tc>
          <w:tcPr>
            <w:tcW w:w="6512" w:type="dxa"/>
            <w:tcBorders>
              <w:top w:val="single" w:sz="8" w:space="0" w:color="4F81BD"/>
              <w:left w:val="nil"/>
              <w:bottom w:val="single" w:sz="8" w:space="0" w:color="4F81BD"/>
              <w:right w:val="single" w:sz="8" w:space="0" w:color="4F81BD"/>
            </w:tcBorders>
            <w:tcMar>
              <w:top w:w="0" w:type="dxa"/>
              <w:left w:w="108" w:type="dxa"/>
              <w:bottom w:w="0" w:type="dxa"/>
              <w:right w:w="108" w:type="dxa"/>
            </w:tcMar>
            <w:vAlign w:val="center"/>
          </w:tcPr>
          <w:p w:rsidR="00A6384D" w:rsidRPr="00A6384D" w:rsidRDefault="00A6384D" w:rsidP="00F26BF4">
            <w:pPr>
              <w:pStyle w:val="ListParagraph"/>
              <w:numPr>
                <w:ilvl w:val="0"/>
                <w:numId w:val="3"/>
              </w:numPr>
              <w:spacing w:beforeLines="60" w:before="144" w:afterLines="60" w:after="144" w:line="240" w:lineRule="auto"/>
              <w:ind w:left="425" w:hanging="283"/>
              <w:contextualSpacing w:val="0"/>
              <w:rPr>
                <w:rFonts w:eastAsia="Times New Roman" w:cstheme="minorHAnsi"/>
                <w:color w:val="000000"/>
                <w:lang w:eastAsia="en-GB"/>
              </w:rPr>
            </w:pPr>
            <w:r w:rsidRPr="00A6384D">
              <w:rPr>
                <w:rFonts w:eastAsia="Times New Roman" w:cstheme="minorHAnsi"/>
                <w:color w:val="000000"/>
                <w:lang w:eastAsia="en-GB"/>
              </w:rPr>
              <w:t>The methodology used to price the backstop should be sufficiently simple to be applied across technology types and be updated through time.</w:t>
            </w:r>
          </w:p>
        </w:tc>
      </w:tr>
      <w:tr w:rsidR="00A6384D" w:rsidRPr="00400395" w:rsidTr="00A6384D">
        <w:trPr>
          <w:trHeight w:val="80"/>
        </w:trPr>
        <w:tc>
          <w:tcPr>
            <w:tcW w:w="2622"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vAlign w:val="center"/>
          </w:tcPr>
          <w:p w:rsidR="00A6384D" w:rsidRPr="007617AF" w:rsidRDefault="00A6384D" w:rsidP="00F26BF4">
            <w:pPr>
              <w:spacing w:beforeLines="60" w:before="144" w:afterLines="60" w:after="144" w:line="240" w:lineRule="auto"/>
              <w:rPr>
                <w:b/>
              </w:rPr>
            </w:pPr>
            <w:r w:rsidRPr="007617AF">
              <w:rPr>
                <w:b/>
              </w:rPr>
              <w:t>Legal risk and potential compliance cost</w:t>
            </w:r>
          </w:p>
        </w:tc>
        <w:tc>
          <w:tcPr>
            <w:tcW w:w="6512" w:type="dxa"/>
            <w:tcBorders>
              <w:top w:val="single" w:sz="8" w:space="0" w:color="4F81BD"/>
              <w:left w:val="nil"/>
              <w:bottom w:val="single" w:sz="8" w:space="0" w:color="4F81BD"/>
              <w:right w:val="single" w:sz="8" w:space="0" w:color="4F81BD"/>
            </w:tcBorders>
            <w:tcMar>
              <w:top w:w="0" w:type="dxa"/>
              <w:left w:w="108" w:type="dxa"/>
              <w:bottom w:w="0" w:type="dxa"/>
              <w:right w:w="108" w:type="dxa"/>
            </w:tcMar>
            <w:vAlign w:val="center"/>
          </w:tcPr>
          <w:p w:rsidR="00A6384D" w:rsidRPr="00A6384D" w:rsidRDefault="00A6384D" w:rsidP="00F26BF4">
            <w:pPr>
              <w:pStyle w:val="ListParagraph"/>
              <w:numPr>
                <w:ilvl w:val="0"/>
                <w:numId w:val="3"/>
              </w:numPr>
              <w:spacing w:beforeLines="60" w:before="144" w:afterLines="60" w:after="144" w:line="240" w:lineRule="auto"/>
              <w:ind w:left="425" w:hanging="283"/>
              <w:contextualSpacing w:val="0"/>
              <w:rPr>
                <w:rFonts w:eastAsia="Times New Roman" w:cstheme="minorHAnsi"/>
                <w:color w:val="000000"/>
                <w:lang w:eastAsia="en-GB"/>
              </w:rPr>
            </w:pPr>
            <w:r w:rsidRPr="00A6384D">
              <w:rPr>
                <w:rFonts w:eastAsia="Times New Roman" w:cstheme="minorHAnsi"/>
                <w:color w:val="000000"/>
                <w:lang w:eastAsia="en-GB"/>
              </w:rPr>
              <w:t>The approach and assumptions used to price the backstop PPA should be transparent and consistent, both with the stated policy objective of the backstop; and wider EMR (i.e. strike price methodologies etc.)</w:t>
            </w:r>
          </w:p>
        </w:tc>
      </w:tr>
    </w:tbl>
    <w:p w:rsidR="00A2393A" w:rsidRDefault="00A2393A" w:rsidP="007617AF">
      <w:pPr>
        <w:rPr>
          <w:b/>
        </w:rPr>
      </w:pPr>
    </w:p>
    <w:p w:rsidR="00C27FEE" w:rsidRDefault="00C27FEE" w:rsidP="007617AF">
      <w:pPr>
        <w:rPr>
          <w:rFonts w:cstheme="minorHAnsi"/>
          <w:i/>
          <w:highlight w:val="yellow"/>
        </w:rPr>
      </w:pPr>
    </w:p>
    <w:p w:rsidR="00F62A7F" w:rsidRDefault="00F62A7F">
      <w:pPr>
        <w:rPr>
          <w:rFonts w:asciiTheme="majorHAnsi" w:eastAsiaTheme="majorEastAsia" w:hAnsiTheme="majorHAnsi" w:cstheme="majorBidi"/>
          <w:b/>
          <w:bCs/>
          <w:color w:val="4F81BD" w:themeColor="accent1"/>
        </w:rPr>
      </w:pPr>
      <w:r>
        <w:br w:type="page"/>
      </w:r>
    </w:p>
    <w:p w:rsidR="00EA75A5" w:rsidRDefault="0094522F" w:rsidP="000B4631">
      <w:pPr>
        <w:pStyle w:val="Heading1"/>
        <w:spacing w:before="0" w:after="120"/>
      </w:pPr>
      <w:r>
        <w:lastRenderedPageBreak/>
        <w:t>Nature of the discount in backstop PPAs</w:t>
      </w:r>
    </w:p>
    <w:p w:rsidR="0094522F" w:rsidRDefault="0094522F" w:rsidP="0094522F">
      <w:r>
        <w:t>This section considers whether the discount should be expressed as a percentage</w:t>
      </w:r>
      <w:r w:rsidRPr="0094522F">
        <w:t xml:space="preserve"> of the reference price or £/MWh fee,</w:t>
      </w:r>
      <w:r>
        <w:t xml:space="preserve"> whether it should be fixed or </w:t>
      </w:r>
      <w:r w:rsidRPr="0094522F">
        <w:t>var</w:t>
      </w:r>
      <w:r>
        <w:t>y</w:t>
      </w:r>
      <w:r w:rsidRPr="0094522F">
        <w:t xml:space="preserve"> over time, and </w:t>
      </w:r>
      <w:r>
        <w:t>whether it would be indexed.</w:t>
      </w:r>
    </w:p>
    <w:p w:rsidR="0094522F" w:rsidRDefault="0094522F" w:rsidP="0094522F">
      <w:pPr>
        <w:pStyle w:val="Heading2"/>
      </w:pPr>
      <w:proofErr w:type="gramStart"/>
      <w:r>
        <w:t xml:space="preserve">Percentage </w:t>
      </w:r>
      <w:r w:rsidR="000B5F2C">
        <w:t>or absolute discount?</w:t>
      </w:r>
      <w:proofErr w:type="gramEnd"/>
    </w:p>
    <w:p w:rsidR="0094522F" w:rsidRDefault="0094522F" w:rsidP="0094522F">
      <w:r>
        <w:t>PPAs for intermittent plant in the market at present are typically structured as a percentage discount to a market price</w:t>
      </w:r>
      <w:r w:rsidR="00CF0960">
        <w:t xml:space="preserve"> (e.g. the day ahead price)</w:t>
      </w:r>
      <w:r>
        <w:t xml:space="preserve">. This makes sense from the </w:t>
      </w:r>
      <w:proofErr w:type="spellStart"/>
      <w:r>
        <w:t>offtaker’s</w:t>
      </w:r>
      <w:proofErr w:type="spellEnd"/>
      <w:r>
        <w:t xml:space="preserve"> perspective, as there is </w:t>
      </w:r>
      <w:r w:rsidR="008C602F">
        <w:t xml:space="preserve">currently </w:t>
      </w:r>
      <w:r>
        <w:t xml:space="preserve">a degree of correlation between the </w:t>
      </w:r>
      <w:r w:rsidR="00CF0960">
        <w:t xml:space="preserve">day </w:t>
      </w:r>
      <w:proofErr w:type="gramStart"/>
      <w:r w:rsidR="00CF0960">
        <w:t>ahead</w:t>
      </w:r>
      <w:proofErr w:type="gramEnd"/>
      <w:r w:rsidR="00CF0960">
        <w:t xml:space="preserve"> price, intraday prices, and cash-out prices, so imbalance / basis risk is likely to be correlated with the market </w:t>
      </w:r>
      <w:r w:rsidR="008C602F">
        <w:t>price at which the electricity has been</w:t>
      </w:r>
      <w:r w:rsidR="00CF0960">
        <w:t xml:space="preserve"> sold. It also makes sense from a generator’s perspective, as the generator’s revenue will track movements in market prices (i.e. the generator’s total revenue will be higher when market prices are higher, notwithstanding the effect of the discount).</w:t>
      </w:r>
    </w:p>
    <w:p w:rsidR="00CF0960" w:rsidRDefault="00CF0960" w:rsidP="0094522F">
      <w:r>
        <w:t xml:space="preserve">However, under the </w:t>
      </w:r>
      <w:proofErr w:type="spellStart"/>
      <w:r>
        <w:t>CfD</w:t>
      </w:r>
      <w:proofErr w:type="spellEnd"/>
      <w:r>
        <w:t xml:space="preserve"> the situation for generators will be different. A PPA struck at a percentage discount to the market price would result, all else being equal, in the generator receiving </w:t>
      </w:r>
      <w:r>
        <w:rPr>
          <w:i/>
        </w:rPr>
        <w:t>less</w:t>
      </w:r>
      <w:r>
        <w:t xml:space="preserve"> total revenue as market prices increase (because the generator is topped up from the market price to a fixed strike price). Generators may therefore seek absolute discounts in the open market to remove this risk, or alternatively will have to factor in a degree of wholesale price risk into their business case.</w:t>
      </w:r>
    </w:p>
    <w:p w:rsidR="00CF0960" w:rsidRDefault="00CF0960" w:rsidP="0094522F">
      <w:r>
        <w:t>The issue is therefore whether the discount in backstop PPAs should be on a percentage or absolute basis. Our view is that it is best structured as a fixed route-to-market fee expressed in £/MWh because:</w:t>
      </w:r>
    </w:p>
    <w:p w:rsidR="00CF0960" w:rsidRDefault="00CF0960" w:rsidP="00B40CD2">
      <w:pPr>
        <w:pStyle w:val="ListParagraph"/>
        <w:numPr>
          <w:ilvl w:val="0"/>
          <w:numId w:val="3"/>
        </w:numPr>
      </w:pPr>
      <w:r>
        <w:t>the backstop PPA is meant to represent ‘last resort’</w:t>
      </w:r>
      <w:r w:rsidR="00B40CD2">
        <w:t xml:space="preserve"> revenues, so leaving the generator exposed to a degree of wholesale price risk would reduce the bankability of the revenue;</w:t>
      </w:r>
    </w:p>
    <w:p w:rsidR="00B40CD2" w:rsidRDefault="00B40CD2" w:rsidP="00B40CD2">
      <w:pPr>
        <w:pStyle w:val="ListParagraph"/>
        <w:numPr>
          <w:ilvl w:val="0"/>
          <w:numId w:val="3"/>
        </w:numPr>
      </w:pPr>
      <w:r>
        <w:t xml:space="preserve">the risk to </w:t>
      </w:r>
      <w:proofErr w:type="spellStart"/>
      <w:r>
        <w:t>offtakers</w:t>
      </w:r>
      <w:proofErr w:type="spellEnd"/>
      <w:r>
        <w:t xml:space="preserve"> from an absolute discount can be mitigated through the </w:t>
      </w:r>
      <w:proofErr w:type="spellStart"/>
      <w:r>
        <w:t>levelisation</w:t>
      </w:r>
      <w:proofErr w:type="spellEnd"/>
      <w:r>
        <w:t xml:space="preserve"> process;</w:t>
      </w:r>
    </w:p>
    <w:p w:rsidR="00B40CD2" w:rsidRDefault="00B40CD2" w:rsidP="00B40CD2">
      <w:pPr>
        <w:pStyle w:val="ListParagraph"/>
        <w:numPr>
          <w:ilvl w:val="0"/>
          <w:numId w:val="3"/>
        </w:numPr>
      </w:pPr>
      <w:r>
        <w:t xml:space="preserve">the open market may move in this direction in any case (one provider is already discussing offering PPAs on a fixed fee basis), so offering percentage discounts through the OLR would risk it being out of line (in a negative direction) </w:t>
      </w:r>
      <w:r w:rsidR="00794697">
        <w:t>with</w:t>
      </w:r>
      <w:r>
        <w:t xml:space="preserve"> the open market;</w:t>
      </w:r>
    </w:p>
    <w:p w:rsidR="00B40CD2" w:rsidRPr="00CF0960" w:rsidRDefault="00B40CD2" w:rsidP="00B40CD2">
      <w:pPr>
        <w:pStyle w:val="ListParagraph"/>
        <w:numPr>
          <w:ilvl w:val="0"/>
          <w:numId w:val="3"/>
        </w:numPr>
      </w:pPr>
      <w:r>
        <w:t>over time, the correlation between day ahead prices and imbalance cost for wind generators in particular may weaken as the volume of wind on the system grows (e.g. imbalance costs faced by wind may be highest when there is a strong wind forecast at the day ahead stage, depressing day ahead prices</w:t>
      </w:r>
      <w:r w:rsidR="00CA3427">
        <w:t>;</w:t>
      </w:r>
      <w:r>
        <w:t xml:space="preserve"> </w:t>
      </w:r>
      <w:r w:rsidR="00CA3427">
        <w:t xml:space="preserve">however </w:t>
      </w:r>
      <w:r>
        <w:t xml:space="preserve">an </w:t>
      </w:r>
      <w:proofErr w:type="spellStart"/>
      <w:r>
        <w:t>unforecast</w:t>
      </w:r>
      <w:proofErr w:type="spellEnd"/>
      <w:r>
        <w:t xml:space="preserve"> drop in wind speed near to delivery</w:t>
      </w:r>
      <w:r w:rsidR="00CA3427">
        <w:t xml:space="preserve"> </w:t>
      </w:r>
      <w:r w:rsidR="000F64A0">
        <w:t>could</w:t>
      </w:r>
      <w:r>
        <w:t xml:space="preserve"> lead to high cash-out prices</w:t>
      </w:r>
      <w:r w:rsidR="000F64A0">
        <w:t xml:space="preserve"> and high imbalance costs for those generators</w:t>
      </w:r>
      <w:r w:rsidR="00840699">
        <w:t xml:space="preserve"> who are out of balance</w:t>
      </w:r>
      <w:r>
        <w:t>).</w:t>
      </w:r>
    </w:p>
    <w:p w:rsidR="0094522F" w:rsidRDefault="00B40CD2" w:rsidP="0094522F">
      <w:r>
        <w:t>However, there are some risks with this approach:</w:t>
      </w:r>
    </w:p>
    <w:p w:rsidR="00B40CD2" w:rsidRDefault="00B40CD2" w:rsidP="00B40CD2">
      <w:pPr>
        <w:pStyle w:val="ListParagraph"/>
        <w:numPr>
          <w:ilvl w:val="0"/>
          <w:numId w:val="3"/>
        </w:numPr>
      </w:pPr>
      <w:r>
        <w:t>if the open market does not move towards absolute discounts, this could make the OLR more attractive to lenders</w:t>
      </w:r>
      <w:r w:rsidR="000F64A0">
        <w:t xml:space="preserve"> (</w:t>
      </w:r>
      <w:r w:rsidR="002201E3">
        <w:t xml:space="preserve">but this would be </w:t>
      </w:r>
      <w:r w:rsidR="000F64A0">
        <w:t>mitigated by the size of the  discount)</w:t>
      </w:r>
      <w:r w:rsidR="00D83B07">
        <w:t>;</w:t>
      </w:r>
    </w:p>
    <w:p w:rsidR="00B40CD2" w:rsidRDefault="00D83B07" w:rsidP="00B40CD2">
      <w:pPr>
        <w:pStyle w:val="ListParagraph"/>
        <w:numPr>
          <w:ilvl w:val="0"/>
          <w:numId w:val="3"/>
        </w:numPr>
      </w:pPr>
      <w:r>
        <w:t>it could set a precedent for open market PPAs that is not appropriate;</w:t>
      </w:r>
    </w:p>
    <w:p w:rsidR="00D83B07" w:rsidRPr="0094522F" w:rsidRDefault="00D83B07" w:rsidP="00B40CD2">
      <w:pPr>
        <w:pStyle w:val="ListParagraph"/>
        <w:numPr>
          <w:ilvl w:val="0"/>
          <w:numId w:val="3"/>
        </w:numPr>
      </w:pPr>
      <w:proofErr w:type="gramStart"/>
      <w:r>
        <w:t>it</w:t>
      </w:r>
      <w:proofErr w:type="gramEnd"/>
      <w:r>
        <w:t xml:space="preserve"> may </w:t>
      </w:r>
      <w:r w:rsidR="000F64A0">
        <w:t xml:space="preserve">make it harder for </w:t>
      </w:r>
      <w:proofErr w:type="spellStart"/>
      <w:r w:rsidR="002201E3">
        <w:t>Ofgem</w:t>
      </w:r>
      <w:proofErr w:type="spellEnd"/>
      <w:r w:rsidR="002201E3">
        <w:t xml:space="preserve"> or </w:t>
      </w:r>
      <w:proofErr w:type="spellStart"/>
      <w:r w:rsidR="000F64A0">
        <w:t>offtakers</w:t>
      </w:r>
      <w:proofErr w:type="spellEnd"/>
      <w:r w:rsidR="000F64A0">
        <w:t xml:space="preserve"> to assess </w:t>
      </w:r>
      <w:r w:rsidR="002201E3">
        <w:t xml:space="preserve">imbalance risk under backstop PPAs </w:t>
      </w:r>
      <w:r>
        <w:t>if imbalance costs remain correlated with day ahead prices.</w:t>
      </w:r>
    </w:p>
    <w:p w:rsidR="00D45CD3" w:rsidRPr="000B4631" w:rsidRDefault="00D83B07" w:rsidP="000B4631">
      <w:pPr>
        <w:pStyle w:val="Question"/>
      </w:pPr>
      <w:bookmarkStart w:id="1" w:name="_Toc372555928"/>
      <w:r w:rsidRPr="000B4631">
        <w:t xml:space="preserve">Do </w:t>
      </w:r>
      <w:r w:rsidR="008274A5">
        <w:t xml:space="preserve">you </w:t>
      </w:r>
      <w:r w:rsidRPr="000B4631">
        <w:t>agree that discounts in backstop PPAs should be set on a £/MWh basis?</w:t>
      </w:r>
      <w:bookmarkEnd w:id="1"/>
    </w:p>
    <w:p w:rsidR="00D45CD3" w:rsidRDefault="00D83B07" w:rsidP="00D83B07">
      <w:pPr>
        <w:pStyle w:val="Heading2"/>
      </w:pPr>
      <w:r>
        <w:lastRenderedPageBreak/>
        <w:t>Fixed or varying over time</w:t>
      </w:r>
    </w:p>
    <w:p w:rsidR="00D83B07" w:rsidRDefault="00482E81" w:rsidP="00D83B07">
      <w:r>
        <w:t>Some elements of route to market costs – in particular i</w:t>
      </w:r>
      <w:r w:rsidR="00D83B07">
        <w:t xml:space="preserve">mbalance costs for wind generators – are expected to increase over time, primarily driven by the increasing volume of </w:t>
      </w:r>
      <w:r>
        <w:t xml:space="preserve">intermittent generation </w:t>
      </w:r>
      <w:r w:rsidR="00D83B07">
        <w:t>on the system driving more volatile cash-out prices and increasing the risk that individual wind assets are out of balance in the same direction as the system.</w:t>
      </w:r>
    </w:p>
    <w:p w:rsidR="00D83B07" w:rsidRDefault="00D83B07" w:rsidP="00D83B07">
      <w:r>
        <w:t>Whilst PPAs in the market at present are typically structured with a fixed (percentage) discount, we are aware of some PPAs where the discount increases</w:t>
      </w:r>
      <w:r w:rsidR="00F825F2">
        <w:t xml:space="preserve"> over time</w:t>
      </w:r>
      <w:r>
        <w:t xml:space="preserve"> or </w:t>
      </w:r>
      <w:r w:rsidR="00F825F2">
        <w:t xml:space="preserve">that contain </w:t>
      </w:r>
      <w:r>
        <w:t>reopeners for the discount level at a future point in the contract</w:t>
      </w:r>
      <w:r w:rsidR="00482E81">
        <w:t xml:space="preserve">, to reflect expectations that imbalance costs </w:t>
      </w:r>
      <w:r w:rsidR="00F825F2">
        <w:t xml:space="preserve">in particular </w:t>
      </w:r>
      <w:r w:rsidR="00482E81">
        <w:t>may increase</w:t>
      </w:r>
      <w:r>
        <w:t>.</w:t>
      </w:r>
    </w:p>
    <w:p w:rsidR="00D83B07" w:rsidRDefault="00794697" w:rsidP="00D83B07">
      <w:r>
        <w:t xml:space="preserve">There is therefore a </w:t>
      </w:r>
      <w:r w:rsidR="00D83B07">
        <w:t xml:space="preserve">question </w:t>
      </w:r>
      <w:r>
        <w:t xml:space="preserve">as to </w:t>
      </w:r>
      <w:r w:rsidR="00D83B07">
        <w:t xml:space="preserve">whether the discount in backstop PPAs should be fixed for the duration of the generator’s </w:t>
      </w:r>
      <w:proofErr w:type="spellStart"/>
      <w:r w:rsidR="00D83B07">
        <w:t>CfD</w:t>
      </w:r>
      <w:proofErr w:type="spellEnd"/>
      <w:r w:rsidR="00D83B07">
        <w:t xml:space="preserve">, or if it should increase over </w:t>
      </w:r>
      <w:proofErr w:type="gramStart"/>
      <w:r w:rsidR="00D83B07">
        <w:t>time</w:t>
      </w:r>
      <w:proofErr w:type="gramEnd"/>
      <w:r w:rsidR="00D83B07">
        <w:t xml:space="preserve"> to reflec</w:t>
      </w:r>
      <w:r w:rsidR="009850DA">
        <w:t>t the increased imbalance risk (</w:t>
      </w:r>
      <w:r w:rsidR="007E3596">
        <w:t xml:space="preserve">see </w:t>
      </w:r>
      <w:r w:rsidR="008C5F11">
        <w:fldChar w:fldCharType="begin"/>
      </w:r>
      <w:r w:rsidR="008C5F11">
        <w:instrText xml:space="preserve"> REF _Ref372290917 </w:instrText>
      </w:r>
      <w:r w:rsidR="008C5F11">
        <w:fldChar w:fldCharType="separate"/>
      </w:r>
      <w:r w:rsidR="007E3596">
        <w:t xml:space="preserve">Figure </w:t>
      </w:r>
      <w:r w:rsidR="007E3596">
        <w:rPr>
          <w:noProof/>
        </w:rPr>
        <w:t>1</w:t>
      </w:r>
      <w:r w:rsidR="008C5F11">
        <w:rPr>
          <w:noProof/>
        </w:rPr>
        <w:fldChar w:fldCharType="end"/>
      </w:r>
      <w:r w:rsidR="007E3596">
        <w:t xml:space="preserve"> for an illustration of the two alternatives</w:t>
      </w:r>
      <w:r w:rsidR="009850DA">
        <w:t>)</w:t>
      </w:r>
      <w:r w:rsidR="00D83B07">
        <w:t>.</w:t>
      </w:r>
      <w:r w:rsidR="009850DA">
        <w:t xml:space="preserve"> </w:t>
      </w:r>
    </w:p>
    <w:p w:rsidR="007E3596" w:rsidRPr="007E3596" w:rsidRDefault="007E3596" w:rsidP="007E3596">
      <w:pPr>
        <w:pStyle w:val="Caption"/>
        <w:rPr>
          <w:b w:val="0"/>
          <w:i/>
        </w:rPr>
      </w:pPr>
      <w:bookmarkStart w:id="2" w:name="_Ref372290917"/>
      <w:r>
        <w:t xml:space="preserve">Figure </w:t>
      </w:r>
      <w:r w:rsidR="008C5F11">
        <w:fldChar w:fldCharType="begin"/>
      </w:r>
      <w:r w:rsidR="008C5F11">
        <w:instrText xml:space="preserve"> SEQ Figure \* ARABIC </w:instrText>
      </w:r>
      <w:r w:rsidR="008C5F11">
        <w:fldChar w:fldCharType="separate"/>
      </w:r>
      <w:r>
        <w:rPr>
          <w:noProof/>
        </w:rPr>
        <w:t>1</w:t>
      </w:r>
      <w:r w:rsidR="008C5F11">
        <w:rPr>
          <w:noProof/>
        </w:rPr>
        <w:fldChar w:fldCharType="end"/>
      </w:r>
      <w:bookmarkEnd w:id="2"/>
      <w:r>
        <w:t>: Fixed vs. increasing backstop PPA discount</w:t>
      </w:r>
      <w:r>
        <w:rPr>
          <w:b w:val="0"/>
        </w:rPr>
        <w:t xml:space="preserve"> </w:t>
      </w:r>
      <w:r>
        <w:rPr>
          <w:b w:val="0"/>
          <w:i/>
        </w:rPr>
        <w:t>(real 2012 prices)</w:t>
      </w:r>
    </w:p>
    <w:p w:rsidR="00E33066" w:rsidRDefault="00E33066" w:rsidP="00D83B07">
      <w:r>
        <w:rPr>
          <w:noProof/>
          <w:lang w:eastAsia="en-GB"/>
        </w:rPr>
        <w:drawing>
          <wp:inline distT="0" distB="0" distL="0" distR="0" wp14:anchorId="62871A1F" wp14:editId="7401F824">
            <wp:extent cx="2238375" cy="2438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noProof/>
          <w:lang w:eastAsia="en-GB"/>
        </w:rPr>
        <w:drawing>
          <wp:inline distT="0" distB="0" distL="0" distR="0" wp14:anchorId="0A9977F7" wp14:editId="3C9BEE03">
            <wp:extent cx="3343275" cy="2437200"/>
            <wp:effectExtent l="0" t="0" r="0" b="127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noProof/>
          <w:lang w:eastAsia="en-GB"/>
        </w:rPr>
        <w:drawing>
          <wp:inline distT="0" distB="0" distL="0" distR="0" wp14:anchorId="4506B42B" wp14:editId="2D3AAF9D">
            <wp:extent cx="2238375" cy="222885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noProof/>
          <w:lang w:eastAsia="en-GB"/>
        </w:rPr>
        <w:drawing>
          <wp:inline distT="0" distB="0" distL="0" distR="0" wp14:anchorId="3F6FD348" wp14:editId="4009424E">
            <wp:extent cx="3344400" cy="2221200"/>
            <wp:effectExtent l="0" t="0" r="8890" b="825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E4857" w:rsidRPr="00AE4857" w:rsidRDefault="005F6D61" w:rsidP="005F6D61">
      <w:pPr>
        <w:keepNext/>
        <w:keepLines/>
      </w:pPr>
      <w:r>
        <w:lastRenderedPageBreak/>
        <w:t>There are a number of factors to consider in choosing between these options</w:t>
      </w:r>
      <w:r w:rsidR="00AE4857" w:rsidRPr="00AE4857">
        <w:t>:</w:t>
      </w:r>
    </w:p>
    <w:p w:rsidR="00B71711" w:rsidRDefault="00B71711" w:rsidP="005F6D61">
      <w:pPr>
        <w:pStyle w:val="ListParagraph"/>
        <w:keepNext/>
        <w:keepLines/>
        <w:numPr>
          <w:ilvl w:val="0"/>
          <w:numId w:val="3"/>
        </w:numPr>
      </w:pPr>
      <w:r w:rsidRPr="00B71711">
        <w:rPr>
          <w:b/>
        </w:rPr>
        <w:t>Fixed discount</w:t>
      </w:r>
    </w:p>
    <w:p w:rsidR="00482E81" w:rsidRDefault="00E14D95" w:rsidP="005F6D61">
      <w:pPr>
        <w:pStyle w:val="ListParagraph"/>
        <w:keepNext/>
        <w:keepLines/>
        <w:numPr>
          <w:ilvl w:val="1"/>
          <w:numId w:val="3"/>
        </w:numPr>
      </w:pPr>
      <w:r>
        <w:t>A fixed discount is c</w:t>
      </w:r>
      <w:r w:rsidR="00482E81">
        <w:t xml:space="preserve">onsistent with the objective of the OLR to protect against uncertain </w:t>
      </w:r>
      <w:r w:rsidR="00482E81" w:rsidRPr="00E14D95">
        <w:rPr>
          <w:i/>
        </w:rPr>
        <w:t>long-term</w:t>
      </w:r>
      <w:r w:rsidR="00482E81">
        <w:t xml:space="preserve"> route-to-market</w:t>
      </w:r>
      <w:r>
        <w:t xml:space="preserve"> costs. </w:t>
      </w:r>
    </w:p>
    <w:p w:rsidR="00482E81" w:rsidRDefault="00AE4857" w:rsidP="001A52F0">
      <w:pPr>
        <w:pStyle w:val="ListParagraph"/>
        <w:numPr>
          <w:ilvl w:val="1"/>
          <w:numId w:val="3"/>
        </w:numPr>
      </w:pPr>
      <w:r>
        <w:t>It is simpler to set the size for and assess the impacts of a</w:t>
      </w:r>
      <w:r w:rsidR="00794697">
        <w:t xml:space="preserve"> fixed discount </w:t>
      </w:r>
      <w:r w:rsidR="009850DA">
        <w:t xml:space="preserve">– </w:t>
      </w:r>
      <w:r w:rsidR="00794697">
        <w:t xml:space="preserve">there is less </w:t>
      </w:r>
      <w:r w:rsidR="009850DA">
        <w:t xml:space="preserve">need to understand </w:t>
      </w:r>
      <w:r w:rsidR="00794697">
        <w:t xml:space="preserve">the </w:t>
      </w:r>
      <w:r w:rsidR="009850DA">
        <w:t>likely trajectory of route to market costs in detail.</w:t>
      </w:r>
    </w:p>
    <w:p w:rsidR="007178D7" w:rsidRDefault="007178D7" w:rsidP="001A52F0">
      <w:pPr>
        <w:pStyle w:val="ListParagraph"/>
        <w:numPr>
          <w:ilvl w:val="1"/>
          <w:numId w:val="3"/>
        </w:numPr>
      </w:pPr>
      <w:r>
        <w:t xml:space="preserve">As shown in </w:t>
      </w:r>
      <w:r w:rsidR="008C5F11">
        <w:fldChar w:fldCharType="begin"/>
      </w:r>
      <w:r w:rsidR="008C5F11">
        <w:instrText xml:space="preserve"> REF _Ref372290917 </w:instrText>
      </w:r>
      <w:r w:rsidR="008C5F11">
        <w:fldChar w:fldCharType="separate"/>
      </w:r>
      <w:r>
        <w:t xml:space="preserve">Figure </w:t>
      </w:r>
      <w:r>
        <w:rPr>
          <w:noProof/>
        </w:rPr>
        <w:t>1</w:t>
      </w:r>
      <w:r w:rsidR="008C5F11">
        <w:rPr>
          <w:noProof/>
        </w:rPr>
        <w:fldChar w:fldCharType="end"/>
      </w:r>
      <w:r>
        <w:t>, a fixed discount yields stable revenue (in real terms) under the OLR, whilst an increasing discount would lead to decreasing revenue (although when inflation is factored in, both are likely to lead to increasing revenue in nominal terms).</w:t>
      </w:r>
    </w:p>
    <w:p w:rsidR="001A52F0" w:rsidRDefault="009850DA" w:rsidP="001A52F0">
      <w:pPr>
        <w:pStyle w:val="ListParagraph"/>
        <w:numPr>
          <w:ilvl w:val="1"/>
          <w:numId w:val="3"/>
        </w:numPr>
      </w:pPr>
      <w:r>
        <w:t>However, th</w:t>
      </w:r>
      <w:r w:rsidR="001A52F0">
        <w:t xml:space="preserve">e difference between discounts in </w:t>
      </w:r>
      <w:r w:rsidR="00840699">
        <w:t xml:space="preserve">short-term </w:t>
      </w:r>
      <w:r w:rsidR="001A52F0">
        <w:t>open market PPAs and the backstop PPA is likely to be greatest in the near</w:t>
      </w:r>
      <w:r w:rsidR="00AE4857">
        <w:t xml:space="preserve"> term and narrow</w:t>
      </w:r>
      <w:r w:rsidR="00DB5546">
        <w:t xml:space="preserve"> over time</w:t>
      </w:r>
      <w:r w:rsidR="00C551AA">
        <w:t xml:space="preserve"> (as per </w:t>
      </w:r>
      <w:r w:rsidR="008C5F11">
        <w:fldChar w:fldCharType="begin"/>
      </w:r>
      <w:r w:rsidR="008C5F11">
        <w:instrText xml:space="preserve"> REF _Ref372290917 </w:instrText>
      </w:r>
      <w:r w:rsidR="008C5F11">
        <w:fldChar w:fldCharType="separate"/>
      </w:r>
      <w:r w:rsidR="00C551AA">
        <w:t xml:space="preserve">Figure </w:t>
      </w:r>
      <w:r w:rsidR="00C551AA">
        <w:rPr>
          <w:noProof/>
        </w:rPr>
        <w:t>1</w:t>
      </w:r>
      <w:r w:rsidR="008C5F11">
        <w:rPr>
          <w:noProof/>
        </w:rPr>
        <w:fldChar w:fldCharType="end"/>
      </w:r>
      <w:r w:rsidR="00C551AA">
        <w:t>(a)(i))</w:t>
      </w:r>
      <w:r w:rsidR="00DB5546">
        <w:t>,</w:t>
      </w:r>
      <w:r>
        <w:t xml:space="preserve"> which </w:t>
      </w:r>
      <w:r w:rsidR="001A52F0">
        <w:t>could increase the likelihood of generators accessing the backst</w:t>
      </w:r>
      <w:r>
        <w:t xml:space="preserve">op towards the end of their </w:t>
      </w:r>
      <w:proofErr w:type="spellStart"/>
      <w:r>
        <w:t>CfD</w:t>
      </w:r>
      <w:proofErr w:type="spellEnd"/>
      <w:r>
        <w:t>.</w:t>
      </w:r>
    </w:p>
    <w:p w:rsidR="001A52F0" w:rsidRDefault="001A52F0" w:rsidP="00794697">
      <w:pPr>
        <w:pStyle w:val="ListParagraph"/>
        <w:numPr>
          <w:ilvl w:val="0"/>
          <w:numId w:val="3"/>
        </w:numPr>
        <w:spacing w:before="320" w:after="120"/>
        <w:ind w:left="714" w:hanging="357"/>
        <w:contextualSpacing w:val="0"/>
      </w:pPr>
      <w:r>
        <w:rPr>
          <w:b/>
        </w:rPr>
        <w:t>Varying discount</w:t>
      </w:r>
    </w:p>
    <w:p w:rsidR="001A52F0" w:rsidRDefault="009850DA" w:rsidP="001A52F0">
      <w:pPr>
        <w:pStyle w:val="ListParagraph"/>
        <w:numPr>
          <w:ilvl w:val="1"/>
          <w:numId w:val="3"/>
        </w:numPr>
      </w:pPr>
      <w:r>
        <w:t xml:space="preserve">This </w:t>
      </w:r>
      <w:r w:rsidR="001A52F0">
        <w:t xml:space="preserve">could be structured </w:t>
      </w:r>
      <w:r>
        <w:t xml:space="preserve">as </w:t>
      </w:r>
      <w:r w:rsidR="001A52F0">
        <w:t>a constant amount above expected route to market costs,</w:t>
      </w:r>
      <w:r w:rsidR="00D46B6F">
        <w:t xml:space="preserve"> with the intention of</w:t>
      </w:r>
      <w:r w:rsidR="001A52F0">
        <w:t xml:space="preserve"> making the likelihood of generators accessing backstop PPAs constant over time, rather than highest at the far end of their </w:t>
      </w:r>
      <w:proofErr w:type="spellStart"/>
      <w:r w:rsidR="001A52F0">
        <w:t>CfD</w:t>
      </w:r>
      <w:proofErr w:type="spellEnd"/>
      <w:r w:rsidR="001A52F0">
        <w:t xml:space="preserve"> (assuming route to market costs </w:t>
      </w:r>
      <w:r w:rsidR="00C551AA">
        <w:t>follow the expected trajectory).</w:t>
      </w:r>
    </w:p>
    <w:p w:rsidR="001A52F0" w:rsidRDefault="009850DA" w:rsidP="001A52F0">
      <w:pPr>
        <w:pStyle w:val="ListParagraph"/>
        <w:numPr>
          <w:ilvl w:val="1"/>
          <w:numId w:val="3"/>
        </w:numPr>
      </w:pPr>
      <w:r>
        <w:t>T</w:t>
      </w:r>
      <w:r w:rsidR="00E14D95">
        <w:t>his might give more ‘room to manoeuvre’</w:t>
      </w:r>
      <w:r>
        <w:t xml:space="preserve"> in setting the discount</w:t>
      </w:r>
      <w:r w:rsidR="00E14D95">
        <w:t xml:space="preserve">, as it might be possible for </w:t>
      </w:r>
      <w:r w:rsidR="00E14D95">
        <w:rPr>
          <w:i/>
        </w:rPr>
        <w:t>average</w:t>
      </w:r>
      <w:r w:rsidR="00E14D95">
        <w:t xml:space="preserve"> revenues under the backstop to be </w:t>
      </w:r>
      <w:r w:rsidR="00C551AA">
        <w:t xml:space="preserve">the same (or </w:t>
      </w:r>
      <w:r>
        <w:t>larger</w:t>
      </w:r>
      <w:r w:rsidR="00C551AA">
        <w:t>) as</w:t>
      </w:r>
      <w:r>
        <w:t xml:space="preserve"> </w:t>
      </w:r>
      <w:r w:rsidR="00E14D95">
        <w:t xml:space="preserve">under a fixed discount, </w:t>
      </w:r>
      <w:r>
        <w:t xml:space="preserve">while </w:t>
      </w:r>
      <w:r w:rsidR="00C551AA">
        <w:t xml:space="preserve">having a higher margin above route to market costs in the long-term </w:t>
      </w:r>
      <w:r w:rsidR="00E14D95">
        <w:t>(when, for wind generators, imbalance cost</w:t>
      </w:r>
      <w:r w:rsidR="00C551AA">
        <w:t xml:space="preserve">s are expected to be highest) – see </w:t>
      </w:r>
      <w:r w:rsidR="008C5F11">
        <w:fldChar w:fldCharType="begin"/>
      </w:r>
      <w:r w:rsidR="008C5F11">
        <w:instrText xml:space="preserve"> REF _Ref372290917 </w:instrText>
      </w:r>
      <w:r w:rsidR="008C5F11">
        <w:fldChar w:fldCharType="separate"/>
      </w:r>
      <w:r w:rsidR="00C551AA">
        <w:t xml:space="preserve">Figure </w:t>
      </w:r>
      <w:r w:rsidR="00C551AA">
        <w:rPr>
          <w:noProof/>
        </w:rPr>
        <w:t>1</w:t>
      </w:r>
      <w:r w:rsidR="008C5F11">
        <w:rPr>
          <w:noProof/>
        </w:rPr>
        <w:fldChar w:fldCharType="end"/>
      </w:r>
      <w:r w:rsidR="00C551AA">
        <w:t>(b</w:t>
      </w:r>
      <w:proofErr w:type="gramStart"/>
      <w:r w:rsidR="00C551AA">
        <w:t>)(</w:t>
      </w:r>
      <w:proofErr w:type="gramEnd"/>
      <w:r w:rsidR="00C551AA">
        <w:t>i). This might reduce</w:t>
      </w:r>
      <w:r w:rsidR="00E14D95">
        <w:t xml:space="preserve"> the chance of generators actually accessing the backstop</w:t>
      </w:r>
      <w:r w:rsidR="00C551AA">
        <w:t xml:space="preserve"> towards the end of their </w:t>
      </w:r>
      <w:proofErr w:type="spellStart"/>
      <w:r w:rsidR="00C551AA">
        <w:t>CfDs</w:t>
      </w:r>
      <w:proofErr w:type="spellEnd"/>
      <w:r w:rsidR="00E14D95">
        <w:t>.</w:t>
      </w:r>
    </w:p>
    <w:p w:rsidR="009850DA" w:rsidRDefault="009850DA" w:rsidP="009850DA">
      <w:pPr>
        <w:pStyle w:val="ListParagraph"/>
        <w:numPr>
          <w:ilvl w:val="1"/>
          <w:numId w:val="3"/>
        </w:numPr>
      </w:pPr>
      <w:r>
        <w:t>However, t</w:t>
      </w:r>
      <w:r w:rsidRPr="009850DA">
        <w:t>he evolution of route-to-market costs is uncertain</w:t>
      </w:r>
      <w:r w:rsidR="00794697">
        <w:t xml:space="preserve"> – particularly for generators other than wind – </w:t>
      </w:r>
      <w:r w:rsidRPr="009850DA">
        <w:t>so a trajectory of rising backstop discounts is more prone to error (for example, a rising profile could make it more likely that generators would access the backstop if, for example, imbalance costs spiked in the early 2020s but reduced in the late 2020s)</w:t>
      </w:r>
      <w:r w:rsidR="00794697">
        <w:t>.</w:t>
      </w:r>
    </w:p>
    <w:p w:rsidR="00C551AA" w:rsidRPr="009850DA" w:rsidRDefault="00C551AA" w:rsidP="009850DA">
      <w:pPr>
        <w:pStyle w:val="ListParagraph"/>
        <w:numPr>
          <w:ilvl w:val="1"/>
          <w:numId w:val="3"/>
        </w:numPr>
      </w:pPr>
      <w:r>
        <w:t>Also, not all technologies will have rising expected route to market costs, so this approach would not work for such technologies.</w:t>
      </w:r>
    </w:p>
    <w:p w:rsidR="009850DA" w:rsidRDefault="009850DA" w:rsidP="009850DA">
      <w:r>
        <w:t>On balance, we feel that a fixed discount is more appropriate, particular</w:t>
      </w:r>
      <w:r w:rsidR="00DB5546">
        <w:t>ly</w:t>
      </w:r>
      <w:r>
        <w:t xml:space="preserve"> because it is simpl</w:t>
      </w:r>
      <w:r w:rsidR="00A257CD">
        <w:t>e</w:t>
      </w:r>
      <w:r w:rsidR="00794697">
        <w:t>r</w:t>
      </w:r>
      <w:r>
        <w:t xml:space="preserve"> to set and in line with the objectives of the OLR.</w:t>
      </w:r>
    </w:p>
    <w:p w:rsidR="000B4631" w:rsidRPr="000B4631" w:rsidRDefault="000B4631" w:rsidP="000B4631">
      <w:pPr>
        <w:pStyle w:val="Question"/>
      </w:pPr>
      <w:bookmarkStart w:id="3" w:name="_Toc372555929"/>
      <w:r w:rsidRPr="000B4631">
        <w:t xml:space="preserve">Do </w:t>
      </w:r>
      <w:r w:rsidR="008274A5">
        <w:t>you</w:t>
      </w:r>
      <w:r w:rsidRPr="000B4631">
        <w:t xml:space="preserve"> agree that discounts should be fixed for the duration of a generator’s </w:t>
      </w:r>
      <w:proofErr w:type="spellStart"/>
      <w:r w:rsidRPr="000B4631">
        <w:t>CfD</w:t>
      </w:r>
      <w:proofErr w:type="spellEnd"/>
      <w:r w:rsidRPr="000B4631">
        <w:t>?</w:t>
      </w:r>
      <w:bookmarkEnd w:id="3"/>
    </w:p>
    <w:p w:rsidR="009850DA" w:rsidRDefault="000B4631" w:rsidP="000B4631">
      <w:pPr>
        <w:pStyle w:val="Heading2"/>
      </w:pPr>
      <w:r>
        <w:t>Indexation</w:t>
      </w:r>
    </w:p>
    <w:p w:rsidR="000B4631" w:rsidRDefault="000B4631" w:rsidP="000B4631">
      <w:r>
        <w:t xml:space="preserve">The intention of the OLR is to provide generators with a stable ‘worst case’ </w:t>
      </w:r>
      <w:r w:rsidR="00C551AA">
        <w:t xml:space="preserve">all-in </w:t>
      </w:r>
      <w:r>
        <w:t xml:space="preserve">price for their power </w:t>
      </w:r>
      <w:r w:rsidR="00C551AA">
        <w:t>(taking</w:t>
      </w:r>
      <w:r>
        <w:t xml:space="preserve"> the </w:t>
      </w:r>
      <w:proofErr w:type="spellStart"/>
      <w:r>
        <w:t>CfD</w:t>
      </w:r>
      <w:proofErr w:type="spellEnd"/>
      <w:r>
        <w:t xml:space="preserve"> top-up and backstop PPA together</w:t>
      </w:r>
      <w:r w:rsidR="00C551AA">
        <w:t>)</w:t>
      </w:r>
      <w:r>
        <w:t xml:space="preserve">. </w:t>
      </w:r>
      <w:r w:rsidR="005478A1">
        <w:t xml:space="preserve">Since </w:t>
      </w:r>
      <w:proofErr w:type="spellStart"/>
      <w:r w:rsidR="005478A1">
        <w:t>CfD</w:t>
      </w:r>
      <w:proofErr w:type="spellEnd"/>
      <w:r w:rsidR="005478A1">
        <w:t xml:space="preserve"> strike prices are indexed to CPI, </w:t>
      </w:r>
      <w:r>
        <w:t xml:space="preserve">if the discount in backstop PPAs is set in £/MWh and fixed for the duration of the </w:t>
      </w:r>
      <w:proofErr w:type="spellStart"/>
      <w:r>
        <w:t>CfD</w:t>
      </w:r>
      <w:proofErr w:type="spellEnd"/>
      <w:r>
        <w:t>, it would be necessary to index the backstop discount to CPI in the same way</w:t>
      </w:r>
      <w:r w:rsidR="005478A1">
        <w:t xml:space="preserve"> to achieve a stable return</w:t>
      </w:r>
      <w:r>
        <w:t>.</w:t>
      </w:r>
    </w:p>
    <w:p w:rsidR="000B4631" w:rsidRDefault="000B4631" w:rsidP="000B4631">
      <w:pPr>
        <w:pStyle w:val="Question"/>
      </w:pPr>
      <w:bookmarkStart w:id="4" w:name="_Toc372555930"/>
      <w:r>
        <w:t xml:space="preserve">Do </w:t>
      </w:r>
      <w:r w:rsidR="008274A5">
        <w:t xml:space="preserve">you </w:t>
      </w:r>
      <w:r>
        <w:t>agree that discount</w:t>
      </w:r>
      <w:r w:rsidR="00375975">
        <w:t>s</w:t>
      </w:r>
      <w:r>
        <w:t xml:space="preserve"> should be indexed to CPI</w:t>
      </w:r>
      <w:r w:rsidR="005478A1">
        <w:t xml:space="preserve">, in line with the </w:t>
      </w:r>
      <w:proofErr w:type="spellStart"/>
      <w:r w:rsidR="005478A1">
        <w:t>CfD</w:t>
      </w:r>
      <w:proofErr w:type="spellEnd"/>
      <w:r w:rsidR="005478A1">
        <w:t xml:space="preserve"> strike price</w:t>
      </w:r>
      <w:r>
        <w:t>?</w:t>
      </w:r>
      <w:bookmarkEnd w:id="4"/>
    </w:p>
    <w:p w:rsidR="000B4631" w:rsidRDefault="0025082F" w:rsidP="000B4631">
      <w:pPr>
        <w:pStyle w:val="Heading1"/>
      </w:pPr>
      <w:r>
        <w:lastRenderedPageBreak/>
        <w:t>Se</w:t>
      </w:r>
      <w:r w:rsidR="00CB568B">
        <w:t xml:space="preserve">tting the </w:t>
      </w:r>
      <w:r w:rsidR="0085259C">
        <w:t xml:space="preserve">backstop </w:t>
      </w:r>
      <w:r w:rsidR="00CB568B">
        <w:t xml:space="preserve">PPA </w:t>
      </w:r>
      <w:r w:rsidR="000B4631">
        <w:t>discount</w:t>
      </w:r>
    </w:p>
    <w:p w:rsidR="00EA6821" w:rsidRPr="009F6946" w:rsidRDefault="00EA6821" w:rsidP="000B4631">
      <w:pPr>
        <w:rPr>
          <w:i/>
        </w:rPr>
      </w:pPr>
      <w:proofErr w:type="gramStart"/>
      <w:r w:rsidRPr="009F6946">
        <w:rPr>
          <w:i/>
        </w:rPr>
        <w:t>(N.B.</w:t>
      </w:r>
      <w:proofErr w:type="gramEnd"/>
      <w:r w:rsidRPr="009F6946">
        <w:rPr>
          <w:i/>
        </w:rPr>
        <w:t xml:space="preserve"> The following discussion and our modelling assumes that, as discussed above, the backstop discount is a fixed £/MWh discount indexed at CPI for the duration of the generator’s </w:t>
      </w:r>
      <w:proofErr w:type="spellStart"/>
      <w:r w:rsidRPr="009F6946">
        <w:rPr>
          <w:i/>
        </w:rPr>
        <w:t>CfD</w:t>
      </w:r>
      <w:proofErr w:type="spellEnd"/>
      <w:r w:rsidRPr="009F6946">
        <w:rPr>
          <w:i/>
        </w:rPr>
        <w:t>.</w:t>
      </w:r>
      <w:r w:rsidR="00AC4441">
        <w:rPr>
          <w:i/>
        </w:rPr>
        <w:t xml:space="preserve"> The</w:t>
      </w:r>
      <w:r w:rsidR="003C7ECE">
        <w:rPr>
          <w:i/>
        </w:rPr>
        <w:t xml:space="preserve"> modelling is still</w:t>
      </w:r>
      <w:r w:rsidR="00794697">
        <w:rPr>
          <w:i/>
        </w:rPr>
        <w:t xml:space="preserve"> in progress; we hope to present </w:t>
      </w:r>
      <w:r w:rsidR="003C7ECE">
        <w:rPr>
          <w:i/>
        </w:rPr>
        <w:t xml:space="preserve">initial results </w:t>
      </w:r>
      <w:r w:rsidR="00794697">
        <w:rPr>
          <w:i/>
        </w:rPr>
        <w:t xml:space="preserve">for discussion </w:t>
      </w:r>
      <w:r w:rsidR="003C7ECE">
        <w:rPr>
          <w:i/>
        </w:rPr>
        <w:t>at the meeting.</w:t>
      </w:r>
      <w:r w:rsidRPr="009F6946">
        <w:rPr>
          <w:i/>
        </w:rPr>
        <w:t>)</w:t>
      </w:r>
    </w:p>
    <w:p w:rsidR="00CB568B" w:rsidRDefault="00CB568B" w:rsidP="00CB568B">
      <w:pPr>
        <w:pStyle w:val="Heading2"/>
      </w:pPr>
      <w:r>
        <w:t>Modelling approach</w:t>
      </w:r>
    </w:p>
    <w:p w:rsidR="00AC53B4" w:rsidRPr="00AC53B4" w:rsidRDefault="0085259C" w:rsidP="00AC53B4">
      <w:pPr>
        <w:keepNext/>
        <w:keepLines/>
      </w:pPr>
      <w:r>
        <w:t xml:space="preserve">As stated </w:t>
      </w:r>
      <w:r w:rsidR="003C7ECE">
        <w:t>in previous sections</w:t>
      </w:r>
      <w:r>
        <w:t xml:space="preserve">, the key </w:t>
      </w:r>
      <w:r w:rsidR="003C7ECE">
        <w:t xml:space="preserve">objective </w:t>
      </w:r>
      <w:r>
        <w:t xml:space="preserve">when setting the backstop discount is to strike the right balance between a discount that </w:t>
      </w:r>
      <w:r w:rsidR="00AC53B4">
        <w:t>is</w:t>
      </w:r>
      <w:r w:rsidR="00AC53B4" w:rsidRPr="00AC53B4">
        <w:t xml:space="preserve"> large enough to minimise the risk that it ends up being smaller than discounts in the market while still providing sufficient ‘firm’ revenue to allow projects to obtain a reasonable level of debt and equity returns. </w:t>
      </w:r>
    </w:p>
    <w:p w:rsidR="0085259C" w:rsidRDefault="0085259C" w:rsidP="000B4631">
      <w:r>
        <w:t xml:space="preserve">We do not believe that there is a simple formula that can be used to determine the discount. Instead, </w:t>
      </w:r>
      <w:r w:rsidR="006B304E">
        <w:t>our approach i</w:t>
      </w:r>
      <w:r>
        <w:t xml:space="preserve">s to model the impact of different levels of discount </w:t>
      </w:r>
      <w:r w:rsidR="006B304E">
        <w:t>on project finance metrics</w:t>
      </w:r>
      <w:r>
        <w:t xml:space="preserve"> under various assumptions about route to market strategies and costs. </w:t>
      </w:r>
      <w:r w:rsidR="00782352">
        <w:t xml:space="preserve">This can illustrate a range of capital structures and returns to equity that might be feasible given particular backstop discounts – although of course, </w:t>
      </w:r>
      <w:r w:rsidR="006B304E">
        <w:t xml:space="preserve">what individual projects can achieve </w:t>
      </w:r>
      <w:r w:rsidR="00782352">
        <w:t xml:space="preserve">will </w:t>
      </w:r>
      <w:r w:rsidR="006B304E">
        <w:t xml:space="preserve">vary </w:t>
      </w:r>
      <w:r w:rsidR="00782352">
        <w:t>depend</w:t>
      </w:r>
      <w:r w:rsidR="006B304E">
        <w:t>ing</w:t>
      </w:r>
      <w:r w:rsidR="00782352">
        <w:t xml:space="preserve"> on the specifics of the project, PPAs available in the market, expectations over imbalance costs, and </w:t>
      </w:r>
      <w:r w:rsidR="006B304E">
        <w:t xml:space="preserve">the </w:t>
      </w:r>
      <w:r w:rsidR="00782352">
        <w:t>risk appetite of debt and equity providers.</w:t>
      </w:r>
    </w:p>
    <w:p w:rsidR="00782352" w:rsidRDefault="006B304E" w:rsidP="000B4631">
      <w:r>
        <w:t xml:space="preserve">We have commissioned Deloitte to conduct </w:t>
      </w:r>
      <w:r w:rsidR="00CB568B">
        <w:t>project finance</w:t>
      </w:r>
      <w:r>
        <w:t xml:space="preserve"> modelling </w:t>
      </w:r>
      <w:r w:rsidR="00CB568B">
        <w:t xml:space="preserve">of achievable gearing and project returns </w:t>
      </w:r>
      <w:r>
        <w:t xml:space="preserve">using assumptions provided by </w:t>
      </w:r>
      <w:r w:rsidR="00896822">
        <w:t xml:space="preserve">DECC </w:t>
      </w:r>
      <w:r>
        <w:t xml:space="preserve">and </w:t>
      </w:r>
      <w:proofErr w:type="spellStart"/>
      <w:r w:rsidR="00840699">
        <w:t>Baringa</w:t>
      </w:r>
      <w:proofErr w:type="spellEnd"/>
      <w:r w:rsidR="00840699">
        <w:t xml:space="preserve"> Partners</w:t>
      </w:r>
      <w:r>
        <w:t>. To date the</w:t>
      </w:r>
      <w:r w:rsidR="00782352">
        <w:t xml:space="preserve"> modelling has focussed on onshore and offshore wind and solar PV, as eligibility of other technologies</w:t>
      </w:r>
      <w:r>
        <w:t xml:space="preserve"> for the </w:t>
      </w:r>
      <w:proofErr w:type="spellStart"/>
      <w:r>
        <w:t>offtaker</w:t>
      </w:r>
      <w:proofErr w:type="spellEnd"/>
      <w:r>
        <w:t xml:space="preserve"> of last resort</w:t>
      </w:r>
      <w:r w:rsidR="00782352">
        <w:t xml:space="preserve"> is still under consideration. For each technology, we have used the </w:t>
      </w:r>
      <w:r w:rsidR="003E1267">
        <w:t xml:space="preserve">cost </w:t>
      </w:r>
      <w:r w:rsidR="00782352">
        <w:t xml:space="preserve">assumptions </w:t>
      </w:r>
      <w:r w:rsidR="003E1267">
        <w:t xml:space="preserve">for </w:t>
      </w:r>
      <w:r w:rsidR="00782352">
        <w:t xml:space="preserve">the ‘marginal’ project expected to be viable under the draft strike prices published in the draft Delivery Plan in July. We have also made assumptions about </w:t>
      </w:r>
      <w:r w:rsidR="00EA6821">
        <w:t xml:space="preserve">potential route to market costs and </w:t>
      </w:r>
      <w:r w:rsidR="00782352">
        <w:t xml:space="preserve">typical financing strategies, including cost of debt and repayment profiles, informed by discussions with </w:t>
      </w:r>
      <w:r>
        <w:t xml:space="preserve">lenders, equity providers, and </w:t>
      </w:r>
      <w:r w:rsidR="00EA6821">
        <w:t xml:space="preserve">our advisers (Deloitte and </w:t>
      </w:r>
      <w:proofErr w:type="spellStart"/>
      <w:r w:rsidR="00840699">
        <w:t>Baringa</w:t>
      </w:r>
      <w:proofErr w:type="spellEnd"/>
      <w:r w:rsidR="00840699">
        <w:t xml:space="preserve"> Partners</w:t>
      </w:r>
      <w:r w:rsidR="00EA6821">
        <w:t>).</w:t>
      </w:r>
    </w:p>
    <w:p w:rsidR="00782352" w:rsidRDefault="008E7D85" w:rsidP="000B4631">
      <w:r>
        <w:t xml:space="preserve">We </w:t>
      </w:r>
      <w:r w:rsidR="003E6DA6">
        <w:t xml:space="preserve">are modelling </w:t>
      </w:r>
      <w:r>
        <w:t>three scenarios</w:t>
      </w:r>
      <w:r w:rsidR="00EA6821">
        <w:t>:</w:t>
      </w:r>
    </w:p>
    <w:p w:rsidR="00524B2D" w:rsidRDefault="003E6DA6" w:rsidP="00162155">
      <w:pPr>
        <w:pStyle w:val="ListParagraph"/>
        <w:numPr>
          <w:ilvl w:val="0"/>
          <w:numId w:val="36"/>
        </w:numPr>
        <w:spacing w:after="120"/>
        <w:ind w:left="714" w:hanging="357"/>
        <w:contextualSpacing w:val="0"/>
      </w:pPr>
      <w:r>
        <w:t>T</w:t>
      </w:r>
      <w:r w:rsidR="00524B2D">
        <w:t>he level of gearing and equity IRR for a typical project that has obtained a 15-year PPA with a credit-worthy counterpart.</w:t>
      </w:r>
      <w:r w:rsidR="008E7D85">
        <w:t xml:space="preserve"> After </w:t>
      </w:r>
      <w:proofErr w:type="spellStart"/>
      <w:r w:rsidR="008E7D85">
        <w:t>CfD</w:t>
      </w:r>
      <w:proofErr w:type="spellEnd"/>
      <w:r w:rsidR="008E7D85">
        <w:t xml:space="preserve"> expiry the generator is expected to </w:t>
      </w:r>
      <w:r w:rsidR="007540E8">
        <w:t xml:space="preserve">obtain </w:t>
      </w:r>
      <w:r w:rsidR="008E7D85">
        <w:t>rolling 1-year PPAs for the remainder of the asset life.</w:t>
      </w:r>
      <w:r w:rsidR="00524B2D">
        <w:t xml:space="preserve"> This is a ‘reference case’ for achievable gearing and returns without the OLR assuming an efficient, competitive market for long-term PPAs.</w:t>
      </w:r>
    </w:p>
    <w:p w:rsidR="003E1267" w:rsidRDefault="003E6DA6" w:rsidP="00162155">
      <w:pPr>
        <w:pStyle w:val="ListParagraph"/>
        <w:numPr>
          <w:ilvl w:val="0"/>
          <w:numId w:val="36"/>
        </w:numPr>
        <w:spacing w:after="120"/>
        <w:ind w:left="714" w:hanging="357"/>
        <w:contextualSpacing w:val="0"/>
      </w:pPr>
      <w:r>
        <w:t>T</w:t>
      </w:r>
      <w:r w:rsidR="003E1267">
        <w:t xml:space="preserve">he </w:t>
      </w:r>
      <w:r w:rsidR="00C658E1">
        <w:t>equity IRR</w:t>
      </w:r>
      <w:r w:rsidR="003E1267">
        <w:t xml:space="preserve"> </w:t>
      </w:r>
      <w:r w:rsidR="00162155">
        <w:t>on</w:t>
      </w:r>
      <w:r w:rsidR="003E1267">
        <w:t xml:space="preserve"> an </w:t>
      </w:r>
      <w:r w:rsidR="003E1267">
        <w:rPr>
          <w:i/>
        </w:rPr>
        <w:t>unlevered project</w:t>
      </w:r>
      <w:r w:rsidR="003E1267">
        <w:t xml:space="preserve"> based on backstop PPA revenues alone</w:t>
      </w:r>
      <w:r w:rsidR="00162155">
        <w:t xml:space="preserve"> for the entire project life</w:t>
      </w:r>
      <w:r w:rsidR="003E1267">
        <w:t>. This illustrates</w:t>
      </w:r>
      <w:r w:rsidR="007540E8">
        <w:t xml:space="preserve"> the</w:t>
      </w:r>
      <w:r w:rsidR="003E1267">
        <w:t xml:space="preserve"> ‘worst case’ </w:t>
      </w:r>
      <w:r w:rsidR="00524B2D">
        <w:t xml:space="preserve">unlevered </w:t>
      </w:r>
      <w:r w:rsidR="003E1267">
        <w:t>return</w:t>
      </w:r>
      <w:r w:rsidR="00524B2D">
        <w:t xml:space="preserve"> </w:t>
      </w:r>
      <w:r w:rsidR="003E1267">
        <w:t>– it is not expected that any projects would actually proceed on this basis</w:t>
      </w:r>
      <w:r w:rsidR="00C658E1">
        <w:t xml:space="preserve"> alone</w:t>
      </w:r>
      <w:r w:rsidR="003E1267">
        <w:t>.</w:t>
      </w:r>
      <w:r w:rsidR="00896822">
        <w:rPr>
          <w:rStyle w:val="FootnoteReference"/>
        </w:rPr>
        <w:footnoteReference w:id="1"/>
      </w:r>
    </w:p>
    <w:p w:rsidR="008E7D85" w:rsidRDefault="003E6DA6" w:rsidP="00162155">
      <w:pPr>
        <w:pStyle w:val="ListParagraph"/>
        <w:numPr>
          <w:ilvl w:val="0"/>
          <w:numId w:val="36"/>
        </w:numPr>
        <w:spacing w:after="120"/>
        <w:ind w:left="714" w:hanging="357"/>
        <w:contextualSpacing w:val="0"/>
      </w:pPr>
      <w:r>
        <w:t>T</w:t>
      </w:r>
      <w:r w:rsidR="008E7D85" w:rsidRPr="008E7D85">
        <w:t xml:space="preserve">he level of gearing and equity IRR for a typical project </w:t>
      </w:r>
      <w:r w:rsidR="008E7D85">
        <w:t xml:space="preserve">that has obtained a 5-year PPA with a credit-worthy </w:t>
      </w:r>
      <w:proofErr w:type="gramStart"/>
      <w:r w:rsidR="008E7D85">
        <w:t>counterparty,</w:t>
      </w:r>
      <w:proofErr w:type="gramEnd"/>
      <w:r w:rsidR="008E7D85">
        <w:t xml:space="preserve"> and that expects to use rolling 1-year PPAs for the remainder of the asset life.</w:t>
      </w:r>
      <w:r w:rsidR="007203D6">
        <w:t xml:space="preserve"> The 5-year PPA discount is backed out of the 15-year discount using the same assumptions for route to market costs and an estimated risk premium.</w:t>
      </w:r>
    </w:p>
    <w:p w:rsidR="00EA6821" w:rsidRDefault="008E7D85" w:rsidP="008E7D85">
      <w:pPr>
        <w:spacing w:after="120"/>
      </w:pPr>
      <w:r>
        <w:lastRenderedPageBreak/>
        <w:t xml:space="preserve">In calculating the </w:t>
      </w:r>
      <w:r w:rsidRPr="008E7D85">
        <w:rPr>
          <w:i/>
        </w:rPr>
        <w:t>level of gearing</w:t>
      </w:r>
      <w:r>
        <w:t xml:space="preserve"> for the levered projects (i.e. 1 and 3 above), we have assumed</w:t>
      </w:r>
      <w:r w:rsidR="003E1267">
        <w:t xml:space="preserve"> that </w:t>
      </w:r>
      <w:r w:rsidR="00C658E1">
        <w:t xml:space="preserve">debt sizing is based only on </w:t>
      </w:r>
      <w:r w:rsidR="003E1267">
        <w:t xml:space="preserve">contracted revenues </w:t>
      </w:r>
      <w:r w:rsidR="00C658E1">
        <w:t xml:space="preserve">and </w:t>
      </w:r>
      <w:r>
        <w:t xml:space="preserve">OLR </w:t>
      </w:r>
      <w:r w:rsidR="003E1267">
        <w:t xml:space="preserve">revenues, </w:t>
      </w:r>
      <w:r>
        <w:t xml:space="preserve">under </w:t>
      </w:r>
      <w:r w:rsidR="003E1267">
        <w:t>‘base case’ assumptions (P50 output, 1.25x debt service cover ratio</w:t>
      </w:r>
      <w:r w:rsidR="009F6946">
        <w:t xml:space="preserve"> (DSCR)</w:t>
      </w:r>
      <w:r w:rsidR="003E1267">
        <w:t>).</w:t>
      </w:r>
      <w:r>
        <w:t xml:space="preserve"> So for scenario 3, debt sizing is based off PPA revenues for the first 5 years, followed by OLR revenues to the end of the </w:t>
      </w:r>
      <w:proofErr w:type="spellStart"/>
      <w:r>
        <w:t>CfD</w:t>
      </w:r>
      <w:proofErr w:type="spellEnd"/>
      <w:r>
        <w:t>.</w:t>
      </w:r>
      <w:r w:rsidR="009F6946">
        <w:t xml:space="preserve"> Note that these are conservative assumptions – some lenders have indicated they would treat backstop PPA revenues as a stress test (i.e. P90 output and 1.10x DSCR), and would take into account </w:t>
      </w:r>
      <w:r w:rsidR="003E6DA6">
        <w:t xml:space="preserve">expectations about </w:t>
      </w:r>
      <w:proofErr w:type="spellStart"/>
      <w:r w:rsidR="009F6946">
        <w:t>uncontracted</w:t>
      </w:r>
      <w:proofErr w:type="spellEnd"/>
      <w:r w:rsidR="009F6946">
        <w:t xml:space="preserve"> market revenues in their base case.</w:t>
      </w:r>
      <w:r w:rsidR="00162155">
        <w:t xml:space="preserve"> The de</w:t>
      </w:r>
      <w:r w:rsidR="003E6DA6">
        <w:t>bt tenor is assumed at 12 years, and debt repayments have been manually sculpted to achieve the required DSCR in each period.</w:t>
      </w:r>
    </w:p>
    <w:p w:rsidR="0085259C" w:rsidRDefault="008E7D85" w:rsidP="008E7D85">
      <w:r>
        <w:rPr>
          <w:i/>
        </w:rPr>
        <w:t>E</w:t>
      </w:r>
      <w:r w:rsidR="003E1267" w:rsidRPr="008E7D85">
        <w:rPr>
          <w:i/>
        </w:rPr>
        <w:t xml:space="preserve">quity </w:t>
      </w:r>
      <w:r w:rsidR="00C658E1" w:rsidRPr="008E7D85">
        <w:rPr>
          <w:i/>
        </w:rPr>
        <w:t xml:space="preserve">IRR </w:t>
      </w:r>
      <w:r>
        <w:t>is calculated using</w:t>
      </w:r>
      <w:r w:rsidR="003E1267">
        <w:t xml:space="preserve"> the level of </w:t>
      </w:r>
      <w:r>
        <w:t>gearing</w:t>
      </w:r>
      <w:r w:rsidR="003E1267">
        <w:t xml:space="preserve"> </w:t>
      </w:r>
      <w:r w:rsidR="00162155">
        <w:t>calculated in the preceding stage, and</w:t>
      </w:r>
      <w:r w:rsidR="003E1267">
        <w:t xml:space="preserve"> </w:t>
      </w:r>
      <w:r w:rsidR="003E6DA6">
        <w:t xml:space="preserve">uses </w:t>
      </w:r>
      <w:r w:rsidR="003E1267">
        <w:t xml:space="preserve">expected </w:t>
      </w:r>
      <w:r w:rsidR="003E6DA6">
        <w:t xml:space="preserve">market </w:t>
      </w:r>
      <w:r w:rsidR="003E1267">
        <w:t xml:space="preserve">revenues throughout the project life (i.e. </w:t>
      </w:r>
      <w:r w:rsidR="003E6DA6">
        <w:t xml:space="preserve">the initial PPA followed by one-year rolling PPAs </w:t>
      </w:r>
      <w:r w:rsidR="003E1267">
        <w:t>thereafter).</w:t>
      </w:r>
    </w:p>
    <w:p w:rsidR="009F6946" w:rsidRDefault="00EE0CE5" w:rsidP="009F6946">
      <w:r>
        <w:t xml:space="preserve">Scenarios </w:t>
      </w:r>
      <w:r w:rsidR="003E6DA6">
        <w:t>2 and 3 have been modelled</w:t>
      </w:r>
      <w:r>
        <w:t xml:space="preserve"> </w:t>
      </w:r>
      <w:r w:rsidR="003E6DA6">
        <w:t xml:space="preserve">for three </w:t>
      </w:r>
      <w:r>
        <w:t>different backstop discounts</w:t>
      </w:r>
      <w:r w:rsidR="00AC4441">
        <w:t xml:space="preserve"> (£20, £25, and £30/MWh)</w:t>
      </w:r>
      <w:r>
        <w:t>. The outputs will take the form of the following table.</w:t>
      </w:r>
    </w:p>
    <w:p w:rsidR="00AC4441" w:rsidRPr="00AC4441" w:rsidRDefault="00AC4441" w:rsidP="00AC4441">
      <w:pPr>
        <w:pStyle w:val="Caption"/>
      </w:pPr>
      <w:r w:rsidRPr="00AC4441">
        <w:t xml:space="preserve">Table </w:t>
      </w:r>
      <w:r w:rsidR="008C5F11">
        <w:fldChar w:fldCharType="begin"/>
      </w:r>
      <w:r w:rsidR="008C5F11">
        <w:instrText xml:space="preserve"> SEQ Table \* ARABIC</w:instrText>
      </w:r>
      <w:r w:rsidR="008C5F11">
        <w:instrText xml:space="preserve"> </w:instrText>
      </w:r>
      <w:r w:rsidR="008C5F11">
        <w:fldChar w:fldCharType="separate"/>
      </w:r>
      <w:r w:rsidRPr="00AC4441">
        <w:t>1</w:t>
      </w:r>
      <w:r w:rsidR="008C5F11">
        <w:fldChar w:fldCharType="end"/>
      </w:r>
      <w:r w:rsidRPr="00AC4441">
        <w:t>: Modelling scenarios for various backstop PPA discounts</w:t>
      </w:r>
    </w:p>
    <w:tbl>
      <w:tblPr>
        <w:tblStyle w:val="TableGrid"/>
        <w:tblW w:w="9398" w:type="dxa"/>
        <w:tblLook w:val="04A0" w:firstRow="1" w:lastRow="0" w:firstColumn="1" w:lastColumn="0" w:noHBand="0" w:noVBand="1"/>
      </w:tblPr>
      <w:tblGrid>
        <w:gridCol w:w="1797"/>
        <w:gridCol w:w="926"/>
        <w:gridCol w:w="929"/>
        <w:gridCol w:w="926"/>
        <w:gridCol w:w="974"/>
        <w:gridCol w:w="949"/>
        <w:gridCol w:w="974"/>
        <w:gridCol w:w="949"/>
        <w:gridCol w:w="974"/>
      </w:tblGrid>
      <w:tr w:rsidR="00882E55" w:rsidTr="00CB568B">
        <w:tc>
          <w:tcPr>
            <w:tcW w:w="1797" w:type="dxa"/>
            <w:vMerge w:val="restart"/>
            <w:tcBorders>
              <w:top w:val="nil"/>
              <w:left w:val="nil"/>
              <w:right w:val="single" w:sz="12" w:space="0" w:color="auto"/>
            </w:tcBorders>
            <w:vAlign w:val="center"/>
          </w:tcPr>
          <w:p w:rsidR="00882E55" w:rsidRDefault="00882E55" w:rsidP="00882E55">
            <w:pPr>
              <w:jc w:val="center"/>
            </w:pPr>
          </w:p>
        </w:tc>
        <w:tc>
          <w:tcPr>
            <w:tcW w:w="1855" w:type="dxa"/>
            <w:gridSpan w:val="2"/>
            <w:vMerge w:val="restart"/>
            <w:tcBorders>
              <w:top w:val="single" w:sz="12" w:space="0" w:color="auto"/>
              <w:left w:val="single" w:sz="12" w:space="0" w:color="auto"/>
              <w:right w:val="single" w:sz="12" w:space="0" w:color="auto"/>
            </w:tcBorders>
            <w:vAlign w:val="center"/>
          </w:tcPr>
          <w:p w:rsidR="00882E55" w:rsidRPr="000D0EF9" w:rsidRDefault="00882E55" w:rsidP="00882E55">
            <w:pPr>
              <w:jc w:val="center"/>
              <w:rPr>
                <w:b/>
              </w:rPr>
            </w:pPr>
            <w:r>
              <w:rPr>
                <w:b/>
              </w:rPr>
              <w:t>No OLR</w:t>
            </w:r>
          </w:p>
        </w:tc>
        <w:tc>
          <w:tcPr>
            <w:tcW w:w="5746" w:type="dxa"/>
            <w:gridSpan w:val="6"/>
            <w:tcBorders>
              <w:top w:val="single" w:sz="12" w:space="0" w:color="auto"/>
              <w:left w:val="single" w:sz="12" w:space="0" w:color="auto"/>
              <w:bottom w:val="nil"/>
              <w:right w:val="single" w:sz="12" w:space="0" w:color="auto"/>
            </w:tcBorders>
            <w:vAlign w:val="center"/>
          </w:tcPr>
          <w:p w:rsidR="00882E55" w:rsidRPr="000D0EF9" w:rsidRDefault="00882E55" w:rsidP="00882E55">
            <w:pPr>
              <w:jc w:val="center"/>
              <w:rPr>
                <w:b/>
              </w:rPr>
            </w:pPr>
            <w:r w:rsidRPr="000D0EF9">
              <w:rPr>
                <w:b/>
              </w:rPr>
              <w:t>Backstop PPA discount</w:t>
            </w:r>
          </w:p>
        </w:tc>
      </w:tr>
      <w:tr w:rsidR="00882E55" w:rsidTr="00CB568B">
        <w:tc>
          <w:tcPr>
            <w:tcW w:w="1797" w:type="dxa"/>
            <w:vMerge/>
            <w:tcBorders>
              <w:left w:val="nil"/>
              <w:bottom w:val="single" w:sz="12" w:space="0" w:color="auto"/>
              <w:right w:val="single" w:sz="12" w:space="0" w:color="auto"/>
            </w:tcBorders>
            <w:vAlign w:val="center"/>
          </w:tcPr>
          <w:p w:rsidR="00882E55" w:rsidRDefault="00882E55" w:rsidP="00882E55">
            <w:pPr>
              <w:jc w:val="center"/>
            </w:pPr>
          </w:p>
        </w:tc>
        <w:tc>
          <w:tcPr>
            <w:tcW w:w="1855" w:type="dxa"/>
            <w:gridSpan w:val="2"/>
            <w:vMerge/>
            <w:tcBorders>
              <w:left w:val="single" w:sz="12" w:space="0" w:color="auto"/>
              <w:bottom w:val="single" w:sz="4" w:space="0" w:color="auto"/>
              <w:right w:val="single" w:sz="12" w:space="0" w:color="auto"/>
            </w:tcBorders>
          </w:tcPr>
          <w:p w:rsidR="00882E55" w:rsidRPr="000D0EF9" w:rsidRDefault="00882E55" w:rsidP="00882E55">
            <w:pPr>
              <w:jc w:val="center"/>
              <w:rPr>
                <w:b/>
              </w:rPr>
            </w:pPr>
          </w:p>
        </w:tc>
        <w:tc>
          <w:tcPr>
            <w:tcW w:w="1900" w:type="dxa"/>
            <w:gridSpan w:val="2"/>
            <w:tcBorders>
              <w:top w:val="nil"/>
              <w:left w:val="single" w:sz="12" w:space="0" w:color="auto"/>
              <w:bottom w:val="single" w:sz="4" w:space="0" w:color="auto"/>
              <w:right w:val="single" w:sz="12" w:space="0" w:color="auto"/>
            </w:tcBorders>
            <w:vAlign w:val="center"/>
          </w:tcPr>
          <w:p w:rsidR="00882E55" w:rsidRPr="000D0EF9" w:rsidRDefault="00882E55" w:rsidP="00882E55">
            <w:pPr>
              <w:jc w:val="center"/>
              <w:rPr>
                <w:b/>
              </w:rPr>
            </w:pPr>
            <w:r w:rsidRPr="000D0EF9">
              <w:rPr>
                <w:b/>
              </w:rPr>
              <w:t>£20/MWh</w:t>
            </w:r>
          </w:p>
        </w:tc>
        <w:tc>
          <w:tcPr>
            <w:tcW w:w="1923" w:type="dxa"/>
            <w:gridSpan w:val="2"/>
            <w:tcBorders>
              <w:top w:val="nil"/>
              <w:left w:val="single" w:sz="12" w:space="0" w:color="auto"/>
              <w:bottom w:val="single" w:sz="4" w:space="0" w:color="auto"/>
              <w:right w:val="single" w:sz="12" w:space="0" w:color="auto"/>
            </w:tcBorders>
            <w:vAlign w:val="center"/>
          </w:tcPr>
          <w:p w:rsidR="00882E55" w:rsidRPr="000D0EF9" w:rsidRDefault="00882E55" w:rsidP="00882E55">
            <w:pPr>
              <w:jc w:val="center"/>
              <w:rPr>
                <w:b/>
              </w:rPr>
            </w:pPr>
            <w:r w:rsidRPr="000D0EF9">
              <w:rPr>
                <w:b/>
              </w:rPr>
              <w:t>£25/MWh</w:t>
            </w:r>
          </w:p>
        </w:tc>
        <w:tc>
          <w:tcPr>
            <w:tcW w:w="1923" w:type="dxa"/>
            <w:gridSpan w:val="2"/>
            <w:tcBorders>
              <w:top w:val="nil"/>
              <w:left w:val="single" w:sz="12" w:space="0" w:color="auto"/>
              <w:bottom w:val="single" w:sz="4" w:space="0" w:color="auto"/>
              <w:right w:val="single" w:sz="12" w:space="0" w:color="auto"/>
            </w:tcBorders>
            <w:vAlign w:val="center"/>
          </w:tcPr>
          <w:p w:rsidR="00882E55" w:rsidRPr="000D0EF9" w:rsidRDefault="00882E55" w:rsidP="00882E55">
            <w:pPr>
              <w:jc w:val="center"/>
              <w:rPr>
                <w:b/>
              </w:rPr>
            </w:pPr>
            <w:r w:rsidRPr="000D0EF9">
              <w:rPr>
                <w:b/>
              </w:rPr>
              <w:t>£30/MWh</w:t>
            </w:r>
          </w:p>
        </w:tc>
      </w:tr>
      <w:tr w:rsidR="00CB568B" w:rsidTr="00C9648E">
        <w:tc>
          <w:tcPr>
            <w:tcW w:w="1797" w:type="dxa"/>
            <w:tcBorders>
              <w:top w:val="single" w:sz="12" w:space="0" w:color="auto"/>
              <w:left w:val="single" w:sz="12" w:space="0" w:color="auto"/>
              <w:bottom w:val="double" w:sz="4" w:space="0" w:color="auto"/>
              <w:right w:val="single" w:sz="12" w:space="0" w:color="auto"/>
            </w:tcBorders>
            <w:vAlign w:val="center"/>
          </w:tcPr>
          <w:p w:rsidR="00882E55" w:rsidRPr="000D0EF9" w:rsidRDefault="00882E55" w:rsidP="00882E55">
            <w:pPr>
              <w:rPr>
                <w:b/>
              </w:rPr>
            </w:pPr>
            <w:r w:rsidRPr="000D0EF9">
              <w:rPr>
                <w:b/>
              </w:rPr>
              <w:t>Scenario</w:t>
            </w:r>
          </w:p>
        </w:tc>
        <w:tc>
          <w:tcPr>
            <w:tcW w:w="926" w:type="dxa"/>
            <w:tcBorders>
              <w:top w:val="single" w:sz="4" w:space="0" w:color="auto"/>
              <w:left w:val="single" w:sz="12" w:space="0" w:color="auto"/>
              <w:bottom w:val="double" w:sz="4" w:space="0" w:color="auto"/>
              <w:right w:val="single" w:sz="4" w:space="0" w:color="auto"/>
            </w:tcBorders>
            <w:vAlign w:val="center"/>
          </w:tcPr>
          <w:p w:rsidR="00882E55" w:rsidRPr="000D0EF9" w:rsidRDefault="00882E55" w:rsidP="00691A43">
            <w:pPr>
              <w:jc w:val="center"/>
              <w:rPr>
                <w:i/>
              </w:rPr>
            </w:pPr>
            <w:r w:rsidRPr="000D0EF9">
              <w:rPr>
                <w:i/>
              </w:rPr>
              <w:t>Gearing</w:t>
            </w:r>
          </w:p>
        </w:tc>
        <w:tc>
          <w:tcPr>
            <w:tcW w:w="929" w:type="dxa"/>
            <w:tcBorders>
              <w:top w:val="single" w:sz="4" w:space="0" w:color="auto"/>
              <w:left w:val="single" w:sz="4" w:space="0" w:color="auto"/>
              <w:bottom w:val="double" w:sz="4" w:space="0" w:color="auto"/>
              <w:right w:val="single" w:sz="12" w:space="0" w:color="auto"/>
            </w:tcBorders>
            <w:vAlign w:val="center"/>
          </w:tcPr>
          <w:p w:rsidR="00882E55" w:rsidRPr="000D0EF9" w:rsidRDefault="00882E55" w:rsidP="00691A43">
            <w:pPr>
              <w:jc w:val="center"/>
              <w:rPr>
                <w:i/>
              </w:rPr>
            </w:pPr>
            <w:r w:rsidRPr="00882E55">
              <w:rPr>
                <w:i/>
              </w:rPr>
              <w:t>Equity IRR</w:t>
            </w:r>
          </w:p>
        </w:tc>
        <w:tc>
          <w:tcPr>
            <w:tcW w:w="926" w:type="dxa"/>
            <w:tcBorders>
              <w:top w:val="single" w:sz="4" w:space="0" w:color="auto"/>
              <w:left w:val="single" w:sz="12" w:space="0" w:color="auto"/>
              <w:bottom w:val="double" w:sz="4" w:space="0" w:color="auto"/>
              <w:right w:val="single" w:sz="4" w:space="0" w:color="auto"/>
            </w:tcBorders>
            <w:vAlign w:val="center"/>
          </w:tcPr>
          <w:p w:rsidR="00882E55" w:rsidRPr="000D0EF9" w:rsidRDefault="00882E55" w:rsidP="00882E55">
            <w:pPr>
              <w:jc w:val="center"/>
              <w:rPr>
                <w:i/>
              </w:rPr>
            </w:pPr>
            <w:r w:rsidRPr="000D0EF9">
              <w:rPr>
                <w:i/>
              </w:rPr>
              <w:t>Gearing</w:t>
            </w:r>
          </w:p>
        </w:tc>
        <w:tc>
          <w:tcPr>
            <w:tcW w:w="974" w:type="dxa"/>
            <w:tcBorders>
              <w:top w:val="single" w:sz="4" w:space="0" w:color="auto"/>
              <w:left w:val="single" w:sz="4" w:space="0" w:color="auto"/>
              <w:bottom w:val="double" w:sz="4" w:space="0" w:color="auto"/>
              <w:right w:val="single" w:sz="12" w:space="0" w:color="auto"/>
            </w:tcBorders>
            <w:vAlign w:val="center"/>
          </w:tcPr>
          <w:p w:rsidR="00882E55" w:rsidRPr="000D0EF9" w:rsidRDefault="00882E55" w:rsidP="00882E55">
            <w:pPr>
              <w:jc w:val="center"/>
              <w:rPr>
                <w:i/>
              </w:rPr>
            </w:pPr>
            <w:r w:rsidRPr="00882E55">
              <w:rPr>
                <w:i/>
              </w:rPr>
              <w:t>Equity IRR</w:t>
            </w:r>
          </w:p>
        </w:tc>
        <w:tc>
          <w:tcPr>
            <w:tcW w:w="949" w:type="dxa"/>
            <w:tcBorders>
              <w:top w:val="single" w:sz="4" w:space="0" w:color="auto"/>
              <w:left w:val="single" w:sz="12" w:space="0" w:color="auto"/>
              <w:bottom w:val="double" w:sz="4" w:space="0" w:color="auto"/>
              <w:right w:val="single" w:sz="4" w:space="0" w:color="auto"/>
            </w:tcBorders>
            <w:vAlign w:val="center"/>
          </w:tcPr>
          <w:p w:rsidR="00882E55" w:rsidRPr="000D0EF9" w:rsidRDefault="00882E55" w:rsidP="00882E55">
            <w:pPr>
              <w:jc w:val="center"/>
              <w:rPr>
                <w:i/>
              </w:rPr>
            </w:pPr>
            <w:r w:rsidRPr="000D0EF9">
              <w:rPr>
                <w:i/>
              </w:rPr>
              <w:t>Gearing</w:t>
            </w:r>
          </w:p>
        </w:tc>
        <w:tc>
          <w:tcPr>
            <w:tcW w:w="974" w:type="dxa"/>
            <w:tcBorders>
              <w:top w:val="single" w:sz="4" w:space="0" w:color="auto"/>
              <w:left w:val="single" w:sz="4" w:space="0" w:color="auto"/>
              <w:bottom w:val="double" w:sz="4" w:space="0" w:color="auto"/>
              <w:right w:val="single" w:sz="12" w:space="0" w:color="auto"/>
            </w:tcBorders>
            <w:vAlign w:val="center"/>
          </w:tcPr>
          <w:p w:rsidR="00882E55" w:rsidRPr="000D0EF9" w:rsidRDefault="00882E55" w:rsidP="00882E55">
            <w:pPr>
              <w:jc w:val="center"/>
              <w:rPr>
                <w:i/>
              </w:rPr>
            </w:pPr>
            <w:r w:rsidRPr="00882E55">
              <w:rPr>
                <w:i/>
              </w:rPr>
              <w:t>Equity IRR</w:t>
            </w:r>
          </w:p>
        </w:tc>
        <w:tc>
          <w:tcPr>
            <w:tcW w:w="949" w:type="dxa"/>
            <w:tcBorders>
              <w:top w:val="single" w:sz="4" w:space="0" w:color="auto"/>
              <w:left w:val="single" w:sz="12" w:space="0" w:color="auto"/>
              <w:bottom w:val="double" w:sz="4" w:space="0" w:color="auto"/>
              <w:right w:val="single" w:sz="4" w:space="0" w:color="auto"/>
            </w:tcBorders>
            <w:vAlign w:val="center"/>
          </w:tcPr>
          <w:p w:rsidR="00882E55" w:rsidRPr="000D0EF9" w:rsidRDefault="00882E55" w:rsidP="00882E55">
            <w:pPr>
              <w:jc w:val="center"/>
              <w:rPr>
                <w:i/>
              </w:rPr>
            </w:pPr>
            <w:r w:rsidRPr="000D0EF9">
              <w:rPr>
                <w:i/>
              </w:rPr>
              <w:t>Gearing</w:t>
            </w:r>
          </w:p>
        </w:tc>
        <w:tc>
          <w:tcPr>
            <w:tcW w:w="974" w:type="dxa"/>
            <w:tcBorders>
              <w:top w:val="single" w:sz="4" w:space="0" w:color="auto"/>
              <w:left w:val="single" w:sz="4" w:space="0" w:color="auto"/>
              <w:bottom w:val="double" w:sz="4" w:space="0" w:color="auto"/>
              <w:right w:val="single" w:sz="12" w:space="0" w:color="auto"/>
            </w:tcBorders>
            <w:vAlign w:val="center"/>
          </w:tcPr>
          <w:p w:rsidR="00882E55" w:rsidRPr="000D0EF9" w:rsidRDefault="00882E55" w:rsidP="00882E55">
            <w:pPr>
              <w:jc w:val="center"/>
              <w:rPr>
                <w:i/>
              </w:rPr>
            </w:pPr>
            <w:r w:rsidRPr="000D0EF9">
              <w:rPr>
                <w:i/>
              </w:rPr>
              <w:t xml:space="preserve">Equity </w:t>
            </w:r>
            <w:r>
              <w:rPr>
                <w:i/>
              </w:rPr>
              <w:t>IRR</w:t>
            </w:r>
          </w:p>
        </w:tc>
      </w:tr>
      <w:tr w:rsidR="00C9648E" w:rsidTr="00C9648E">
        <w:tc>
          <w:tcPr>
            <w:tcW w:w="1797" w:type="dxa"/>
            <w:tcBorders>
              <w:top w:val="double" w:sz="4" w:space="0" w:color="auto"/>
              <w:left w:val="single" w:sz="12" w:space="0" w:color="auto"/>
              <w:bottom w:val="single" w:sz="4" w:space="0" w:color="auto"/>
              <w:right w:val="single" w:sz="12" w:space="0" w:color="auto"/>
            </w:tcBorders>
            <w:vAlign w:val="center"/>
          </w:tcPr>
          <w:p w:rsidR="00C9648E" w:rsidRDefault="00C9648E" w:rsidP="00527659">
            <w:r>
              <w:t>1. 15-year PPA + 1-year rolling PPAs.</w:t>
            </w:r>
          </w:p>
        </w:tc>
        <w:tc>
          <w:tcPr>
            <w:tcW w:w="926" w:type="dxa"/>
            <w:tcBorders>
              <w:top w:val="double" w:sz="4" w:space="0" w:color="auto"/>
              <w:left w:val="single" w:sz="12" w:space="0" w:color="auto"/>
              <w:bottom w:val="single" w:sz="4" w:space="0" w:color="auto"/>
              <w:right w:val="single" w:sz="4" w:space="0" w:color="auto"/>
            </w:tcBorders>
            <w:vAlign w:val="center"/>
          </w:tcPr>
          <w:p w:rsidR="00C9648E" w:rsidRDefault="00C9648E" w:rsidP="00C9648E">
            <w:pPr>
              <w:jc w:val="center"/>
            </w:pPr>
          </w:p>
        </w:tc>
        <w:tc>
          <w:tcPr>
            <w:tcW w:w="929" w:type="dxa"/>
            <w:tcBorders>
              <w:top w:val="double" w:sz="4" w:space="0" w:color="auto"/>
              <w:left w:val="single" w:sz="4" w:space="0" w:color="auto"/>
              <w:bottom w:val="single" w:sz="4" w:space="0" w:color="auto"/>
              <w:right w:val="single" w:sz="12" w:space="0" w:color="auto"/>
            </w:tcBorders>
            <w:vAlign w:val="center"/>
          </w:tcPr>
          <w:p w:rsidR="00C9648E" w:rsidRDefault="00C9648E" w:rsidP="00C9648E">
            <w:pPr>
              <w:jc w:val="center"/>
            </w:pPr>
          </w:p>
        </w:tc>
        <w:tc>
          <w:tcPr>
            <w:tcW w:w="926" w:type="dxa"/>
            <w:tcBorders>
              <w:top w:val="double" w:sz="4" w:space="0" w:color="auto"/>
              <w:left w:val="single" w:sz="12" w:space="0" w:color="auto"/>
              <w:bottom w:val="single" w:sz="4" w:space="0" w:color="auto"/>
              <w:right w:val="single" w:sz="4" w:space="0" w:color="auto"/>
            </w:tcBorders>
            <w:shd w:val="clear" w:color="auto" w:fill="BFBFBF" w:themeFill="background1" w:themeFillShade="BF"/>
            <w:vAlign w:val="center"/>
          </w:tcPr>
          <w:p w:rsidR="00C9648E" w:rsidRDefault="00C9648E" w:rsidP="00C9648E">
            <w:pPr>
              <w:jc w:val="center"/>
            </w:pPr>
            <w:r>
              <w:t>-</w:t>
            </w:r>
          </w:p>
        </w:tc>
        <w:tc>
          <w:tcPr>
            <w:tcW w:w="974" w:type="dxa"/>
            <w:tcBorders>
              <w:top w:val="double" w:sz="4" w:space="0" w:color="auto"/>
              <w:left w:val="single" w:sz="4" w:space="0" w:color="auto"/>
              <w:bottom w:val="single" w:sz="4" w:space="0" w:color="auto"/>
              <w:right w:val="single" w:sz="12" w:space="0" w:color="auto"/>
            </w:tcBorders>
            <w:shd w:val="clear" w:color="auto" w:fill="BFBFBF" w:themeFill="background1" w:themeFillShade="BF"/>
            <w:vAlign w:val="center"/>
          </w:tcPr>
          <w:p w:rsidR="00C9648E" w:rsidRDefault="00C9648E" w:rsidP="00C9648E">
            <w:pPr>
              <w:jc w:val="center"/>
            </w:pPr>
            <w:r>
              <w:t>-</w:t>
            </w:r>
          </w:p>
        </w:tc>
        <w:tc>
          <w:tcPr>
            <w:tcW w:w="949" w:type="dxa"/>
            <w:tcBorders>
              <w:top w:val="double" w:sz="4" w:space="0" w:color="auto"/>
              <w:left w:val="single" w:sz="12" w:space="0" w:color="auto"/>
              <w:bottom w:val="single" w:sz="4" w:space="0" w:color="auto"/>
              <w:right w:val="single" w:sz="4" w:space="0" w:color="auto"/>
            </w:tcBorders>
            <w:shd w:val="clear" w:color="auto" w:fill="BFBFBF" w:themeFill="background1" w:themeFillShade="BF"/>
            <w:vAlign w:val="center"/>
          </w:tcPr>
          <w:p w:rsidR="00C9648E" w:rsidRDefault="00C9648E" w:rsidP="00C9648E">
            <w:pPr>
              <w:jc w:val="center"/>
            </w:pPr>
            <w:r>
              <w:t>-</w:t>
            </w:r>
          </w:p>
        </w:tc>
        <w:tc>
          <w:tcPr>
            <w:tcW w:w="974" w:type="dxa"/>
            <w:tcBorders>
              <w:top w:val="double" w:sz="4" w:space="0" w:color="auto"/>
              <w:left w:val="single" w:sz="4" w:space="0" w:color="auto"/>
              <w:bottom w:val="single" w:sz="4" w:space="0" w:color="auto"/>
              <w:right w:val="single" w:sz="12" w:space="0" w:color="auto"/>
            </w:tcBorders>
            <w:shd w:val="clear" w:color="auto" w:fill="BFBFBF" w:themeFill="background1" w:themeFillShade="BF"/>
            <w:vAlign w:val="center"/>
          </w:tcPr>
          <w:p w:rsidR="00C9648E" w:rsidRDefault="00C9648E" w:rsidP="00C9648E">
            <w:pPr>
              <w:jc w:val="center"/>
            </w:pPr>
            <w:r>
              <w:t>-</w:t>
            </w:r>
          </w:p>
        </w:tc>
        <w:tc>
          <w:tcPr>
            <w:tcW w:w="949" w:type="dxa"/>
            <w:tcBorders>
              <w:top w:val="double" w:sz="4" w:space="0" w:color="auto"/>
              <w:left w:val="single" w:sz="12" w:space="0" w:color="auto"/>
              <w:bottom w:val="single" w:sz="4" w:space="0" w:color="auto"/>
              <w:right w:val="single" w:sz="4" w:space="0" w:color="auto"/>
            </w:tcBorders>
            <w:shd w:val="clear" w:color="auto" w:fill="BFBFBF" w:themeFill="background1" w:themeFillShade="BF"/>
            <w:vAlign w:val="center"/>
          </w:tcPr>
          <w:p w:rsidR="00C9648E" w:rsidRDefault="00C9648E" w:rsidP="00C9648E">
            <w:pPr>
              <w:jc w:val="center"/>
            </w:pPr>
            <w:r>
              <w:t>-</w:t>
            </w:r>
          </w:p>
        </w:tc>
        <w:tc>
          <w:tcPr>
            <w:tcW w:w="974" w:type="dxa"/>
            <w:tcBorders>
              <w:top w:val="double" w:sz="4" w:space="0" w:color="auto"/>
              <w:left w:val="single" w:sz="4" w:space="0" w:color="auto"/>
              <w:bottom w:val="single" w:sz="4" w:space="0" w:color="auto"/>
              <w:right w:val="single" w:sz="12" w:space="0" w:color="auto"/>
            </w:tcBorders>
            <w:shd w:val="clear" w:color="auto" w:fill="BFBFBF" w:themeFill="background1" w:themeFillShade="BF"/>
            <w:vAlign w:val="center"/>
          </w:tcPr>
          <w:p w:rsidR="00C9648E" w:rsidRDefault="00C9648E" w:rsidP="00C9648E">
            <w:pPr>
              <w:jc w:val="center"/>
            </w:pPr>
            <w:r>
              <w:t>-</w:t>
            </w:r>
          </w:p>
        </w:tc>
      </w:tr>
      <w:tr w:rsidR="00882E55" w:rsidTr="00C9648E">
        <w:tc>
          <w:tcPr>
            <w:tcW w:w="1797" w:type="dxa"/>
            <w:tcBorders>
              <w:top w:val="single" w:sz="4" w:space="0" w:color="auto"/>
              <w:left w:val="single" w:sz="12" w:space="0" w:color="auto"/>
              <w:bottom w:val="single" w:sz="4" w:space="0" w:color="auto"/>
              <w:right w:val="single" w:sz="12" w:space="0" w:color="auto"/>
            </w:tcBorders>
            <w:vAlign w:val="center"/>
          </w:tcPr>
          <w:p w:rsidR="00882E55" w:rsidRDefault="00C9648E" w:rsidP="00882E55">
            <w:r>
              <w:t xml:space="preserve">2. </w:t>
            </w:r>
            <w:r w:rsidR="00882E55">
              <w:t>Unlevered project, OLR revenue alone</w:t>
            </w:r>
            <w:r>
              <w:t xml:space="preserve"> for asset life.</w:t>
            </w:r>
          </w:p>
        </w:tc>
        <w:tc>
          <w:tcPr>
            <w:tcW w:w="926" w:type="dxa"/>
            <w:tcBorders>
              <w:top w:val="single" w:sz="4" w:space="0" w:color="auto"/>
              <w:left w:val="single" w:sz="12" w:space="0" w:color="auto"/>
              <w:bottom w:val="single" w:sz="4" w:space="0" w:color="auto"/>
              <w:right w:val="single" w:sz="4" w:space="0" w:color="auto"/>
            </w:tcBorders>
            <w:shd w:val="clear" w:color="auto" w:fill="BFBFBF" w:themeFill="background1" w:themeFillShade="BF"/>
            <w:vAlign w:val="center"/>
          </w:tcPr>
          <w:p w:rsidR="00882E55" w:rsidRDefault="00C9648E" w:rsidP="00C9648E">
            <w:pPr>
              <w:jc w:val="center"/>
            </w:pPr>
            <w:r>
              <w:t>-</w:t>
            </w:r>
          </w:p>
        </w:tc>
        <w:tc>
          <w:tcPr>
            <w:tcW w:w="929" w:type="dxa"/>
            <w:tcBorders>
              <w:top w:val="single" w:sz="4" w:space="0" w:color="auto"/>
              <w:left w:val="single" w:sz="4" w:space="0" w:color="auto"/>
              <w:bottom w:val="single" w:sz="4" w:space="0" w:color="auto"/>
              <w:right w:val="single" w:sz="12" w:space="0" w:color="auto"/>
            </w:tcBorders>
            <w:shd w:val="clear" w:color="auto" w:fill="BFBFBF" w:themeFill="background1" w:themeFillShade="BF"/>
            <w:vAlign w:val="center"/>
          </w:tcPr>
          <w:p w:rsidR="00882E55" w:rsidRDefault="00C9648E" w:rsidP="00C9648E">
            <w:pPr>
              <w:jc w:val="center"/>
            </w:pPr>
            <w:r>
              <w:t>-</w:t>
            </w:r>
          </w:p>
        </w:tc>
        <w:tc>
          <w:tcPr>
            <w:tcW w:w="926" w:type="dxa"/>
            <w:tcBorders>
              <w:top w:val="single" w:sz="4" w:space="0" w:color="auto"/>
              <w:left w:val="single" w:sz="12" w:space="0" w:color="auto"/>
              <w:bottom w:val="single" w:sz="4" w:space="0" w:color="auto"/>
              <w:right w:val="single" w:sz="4" w:space="0" w:color="auto"/>
            </w:tcBorders>
            <w:shd w:val="clear" w:color="auto" w:fill="BFBFBF" w:themeFill="background1" w:themeFillShade="BF"/>
            <w:vAlign w:val="center"/>
          </w:tcPr>
          <w:p w:rsidR="00882E55" w:rsidRDefault="00C9648E" w:rsidP="00C9648E">
            <w:pPr>
              <w:jc w:val="center"/>
            </w:pPr>
            <w:r>
              <w:t>-</w:t>
            </w:r>
          </w:p>
        </w:tc>
        <w:tc>
          <w:tcPr>
            <w:tcW w:w="974" w:type="dxa"/>
            <w:tcBorders>
              <w:top w:val="single" w:sz="4" w:space="0" w:color="auto"/>
              <w:left w:val="single" w:sz="4" w:space="0" w:color="auto"/>
              <w:bottom w:val="single" w:sz="4" w:space="0" w:color="auto"/>
              <w:right w:val="single" w:sz="12" w:space="0" w:color="auto"/>
            </w:tcBorders>
            <w:vAlign w:val="center"/>
          </w:tcPr>
          <w:p w:rsidR="00882E55" w:rsidRDefault="00882E55" w:rsidP="00C9648E">
            <w:pPr>
              <w:jc w:val="center"/>
            </w:pPr>
          </w:p>
        </w:tc>
        <w:tc>
          <w:tcPr>
            <w:tcW w:w="949" w:type="dxa"/>
            <w:tcBorders>
              <w:top w:val="single" w:sz="4" w:space="0" w:color="auto"/>
              <w:left w:val="single" w:sz="12" w:space="0" w:color="auto"/>
              <w:bottom w:val="single" w:sz="4" w:space="0" w:color="auto"/>
              <w:right w:val="single" w:sz="4" w:space="0" w:color="auto"/>
            </w:tcBorders>
            <w:shd w:val="clear" w:color="auto" w:fill="BFBFBF" w:themeFill="background1" w:themeFillShade="BF"/>
            <w:vAlign w:val="center"/>
          </w:tcPr>
          <w:p w:rsidR="00882E55" w:rsidRDefault="00C9648E" w:rsidP="00C9648E">
            <w:pPr>
              <w:jc w:val="center"/>
            </w:pPr>
            <w:r>
              <w:t>-</w:t>
            </w:r>
          </w:p>
        </w:tc>
        <w:tc>
          <w:tcPr>
            <w:tcW w:w="974" w:type="dxa"/>
            <w:tcBorders>
              <w:top w:val="single" w:sz="4" w:space="0" w:color="auto"/>
              <w:left w:val="single" w:sz="4" w:space="0" w:color="auto"/>
              <w:bottom w:val="single" w:sz="4" w:space="0" w:color="auto"/>
              <w:right w:val="single" w:sz="12" w:space="0" w:color="auto"/>
            </w:tcBorders>
            <w:vAlign w:val="center"/>
          </w:tcPr>
          <w:p w:rsidR="00882E55" w:rsidRDefault="00882E55" w:rsidP="00C9648E">
            <w:pPr>
              <w:jc w:val="center"/>
            </w:pPr>
          </w:p>
        </w:tc>
        <w:tc>
          <w:tcPr>
            <w:tcW w:w="949" w:type="dxa"/>
            <w:tcBorders>
              <w:top w:val="single" w:sz="4" w:space="0" w:color="auto"/>
              <w:left w:val="single" w:sz="12" w:space="0" w:color="auto"/>
              <w:bottom w:val="single" w:sz="4" w:space="0" w:color="auto"/>
              <w:right w:val="single" w:sz="4" w:space="0" w:color="auto"/>
            </w:tcBorders>
            <w:shd w:val="clear" w:color="auto" w:fill="BFBFBF" w:themeFill="background1" w:themeFillShade="BF"/>
            <w:vAlign w:val="center"/>
          </w:tcPr>
          <w:p w:rsidR="00882E55" w:rsidRDefault="00C9648E" w:rsidP="00C9648E">
            <w:pPr>
              <w:jc w:val="center"/>
            </w:pPr>
            <w:r>
              <w:t>-</w:t>
            </w:r>
          </w:p>
        </w:tc>
        <w:tc>
          <w:tcPr>
            <w:tcW w:w="974" w:type="dxa"/>
            <w:tcBorders>
              <w:top w:val="single" w:sz="4" w:space="0" w:color="auto"/>
              <w:left w:val="single" w:sz="4" w:space="0" w:color="auto"/>
              <w:bottom w:val="single" w:sz="4" w:space="0" w:color="auto"/>
              <w:right w:val="single" w:sz="12" w:space="0" w:color="auto"/>
            </w:tcBorders>
            <w:vAlign w:val="center"/>
          </w:tcPr>
          <w:p w:rsidR="00882E55" w:rsidRDefault="00882E55" w:rsidP="00C9648E">
            <w:pPr>
              <w:jc w:val="center"/>
            </w:pPr>
          </w:p>
        </w:tc>
      </w:tr>
      <w:tr w:rsidR="00882E55" w:rsidTr="00C9648E">
        <w:tc>
          <w:tcPr>
            <w:tcW w:w="1797" w:type="dxa"/>
            <w:tcBorders>
              <w:top w:val="single" w:sz="4" w:space="0" w:color="auto"/>
              <w:left w:val="single" w:sz="12" w:space="0" w:color="auto"/>
              <w:bottom w:val="single" w:sz="12" w:space="0" w:color="auto"/>
              <w:right w:val="single" w:sz="12" w:space="0" w:color="auto"/>
            </w:tcBorders>
            <w:vAlign w:val="center"/>
          </w:tcPr>
          <w:p w:rsidR="00882E55" w:rsidRDefault="00C9648E" w:rsidP="00C9648E">
            <w:r>
              <w:t xml:space="preserve">3. </w:t>
            </w:r>
            <w:r w:rsidR="00882E55">
              <w:t>5-year initial PPA</w:t>
            </w:r>
            <w:r>
              <w:t xml:space="preserve"> + 1-year rolling PPAs.</w:t>
            </w:r>
          </w:p>
        </w:tc>
        <w:tc>
          <w:tcPr>
            <w:tcW w:w="926" w:type="dxa"/>
            <w:tcBorders>
              <w:top w:val="single" w:sz="4" w:space="0" w:color="auto"/>
              <w:left w:val="single" w:sz="12" w:space="0" w:color="auto"/>
              <w:bottom w:val="single" w:sz="12" w:space="0" w:color="auto"/>
              <w:right w:val="single" w:sz="4" w:space="0" w:color="auto"/>
            </w:tcBorders>
            <w:shd w:val="clear" w:color="auto" w:fill="BFBFBF" w:themeFill="background1" w:themeFillShade="BF"/>
            <w:vAlign w:val="center"/>
          </w:tcPr>
          <w:p w:rsidR="00882E55" w:rsidRDefault="00C9648E" w:rsidP="00C9648E">
            <w:pPr>
              <w:jc w:val="center"/>
            </w:pPr>
            <w:r>
              <w:t>-</w:t>
            </w:r>
          </w:p>
        </w:tc>
        <w:tc>
          <w:tcPr>
            <w:tcW w:w="929" w:type="dxa"/>
            <w:tcBorders>
              <w:top w:val="single" w:sz="4" w:space="0" w:color="auto"/>
              <w:left w:val="single" w:sz="4" w:space="0" w:color="auto"/>
              <w:bottom w:val="single" w:sz="12" w:space="0" w:color="auto"/>
              <w:right w:val="single" w:sz="12" w:space="0" w:color="auto"/>
            </w:tcBorders>
            <w:shd w:val="clear" w:color="auto" w:fill="BFBFBF" w:themeFill="background1" w:themeFillShade="BF"/>
            <w:vAlign w:val="center"/>
          </w:tcPr>
          <w:p w:rsidR="00882E55" w:rsidRDefault="00C9648E" w:rsidP="00C9648E">
            <w:pPr>
              <w:jc w:val="center"/>
            </w:pPr>
            <w:r>
              <w:t>-</w:t>
            </w:r>
          </w:p>
        </w:tc>
        <w:tc>
          <w:tcPr>
            <w:tcW w:w="926" w:type="dxa"/>
            <w:tcBorders>
              <w:top w:val="single" w:sz="4" w:space="0" w:color="auto"/>
              <w:left w:val="single" w:sz="12" w:space="0" w:color="auto"/>
              <w:bottom w:val="single" w:sz="12" w:space="0" w:color="auto"/>
              <w:right w:val="single" w:sz="4" w:space="0" w:color="auto"/>
            </w:tcBorders>
            <w:vAlign w:val="center"/>
          </w:tcPr>
          <w:p w:rsidR="00882E55" w:rsidRDefault="00882E55" w:rsidP="00C9648E">
            <w:pPr>
              <w:jc w:val="center"/>
            </w:pPr>
          </w:p>
        </w:tc>
        <w:tc>
          <w:tcPr>
            <w:tcW w:w="974" w:type="dxa"/>
            <w:tcBorders>
              <w:top w:val="single" w:sz="4" w:space="0" w:color="auto"/>
              <w:left w:val="single" w:sz="4" w:space="0" w:color="auto"/>
              <w:bottom w:val="single" w:sz="12" w:space="0" w:color="auto"/>
              <w:right w:val="single" w:sz="12" w:space="0" w:color="auto"/>
            </w:tcBorders>
            <w:vAlign w:val="center"/>
          </w:tcPr>
          <w:p w:rsidR="00882E55" w:rsidRDefault="00882E55" w:rsidP="00C9648E">
            <w:pPr>
              <w:jc w:val="center"/>
            </w:pPr>
          </w:p>
        </w:tc>
        <w:tc>
          <w:tcPr>
            <w:tcW w:w="949" w:type="dxa"/>
            <w:tcBorders>
              <w:top w:val="single" w:sz="4" w:space="0" w:color="auto"/>
              <w:left w:val="single" w:sz="12" w:space="0" w:color="auto"/>
              <w:bottom w:val="single" w:sz="12" w:space="0" w:color="auto"/>
              <w:right w:val="single" w:sz="4" w:space="0" w:color="auto"/>
            </w:tcBorders>
            <w:vAlign w:val="center"/>
          </w:tcPr>
          <w:p w:rsidR="00882E55" w:rsidRDefault="00882E55" w:rsidP="00C9648E">
            <w:pPr>
              <w:jc w:val="center"/>
            </w:pPr>
          </w:p>
        </w:tc>
        <w:tc>
          <w:tcPr>
            <w:tcW w:w="974" w:type="dxa"/>
            <w:tcBorders>
              <w:top w:val="single" w:sz="4" w:space="0" w:color="auto"/>
              <w:left w:val="single" w:sz="4" w:space="0" w:color="auto"/>
              <w:bottom w:val="single" w:sz="12" w:space="0" w:color="auto"/>
              <w:right w:val="single" w:sz="12" w:space="0" w:color="auto"/>
            </w:tcBorders>
            <w:vAlign w:val="center"/>
          </w:tcPr>
          <w:p w:rsidR="00882E55" w:rsidRDefault="00882E55" w:rsidP="00C9648E">
            <w:pPr>
              <w:jc w:val="center"/>
            </w:pPr>
          </w:p>
        </w:tc>
        <w:tc>
          <w:tcPr>
            <w:tcW w:w="949" w:type="dxa"/>
            <w:tcBorders>
              <w:top w:val="single" w:sz="4" w:space="0" w:color="auto"/>
              <w:left w:val="single" w:sz="12" w:space="0" w:color="auto"/>
              <w:bottom w:val="single" w:sz="12" w:space="0" w:color="auto"/>
              <w:right w:val="single" w:sz="4" w:space="0" w:color="auto"/>
            </w:tcBorders>
            <w:vAlign w:val="center"/>
          </w:tcPr>
          <w:p w:rsidR="00882E55" w:rsidRDefault="00882E55" w:rsidP="00C9648E">
            <w:pPr>
              <w:jc w:val="center"/>
            </w:pPr>
          </w:p>
        </w:tc>
        <w:tc>
          <w:tcPr>
            <w:tcW w:w="974" w:type="dxa"/>
            <w:tcBorders>
              <w:top w:val="single" w:sz="4" w:space="0" w:color="auto"/>
              <w:left w:val="single" w:sz="4" w:space="0" w:color="auto"/>
              <w:bottom w:val="single" w:sz="12" w:space="0" w:color="auto"/>
              <w:right w:val="single" w:sz="12" w:space="0" w:color="auto"/>
            </w:tcBorders>
            <w:vAlign w:val="center"/>
          </w:tcPr>
          <w:p w:rsidR="00882E55" w:rsidRDefault="00882E55" w:rsidP="00C9648E">
            <w:pPr>
              <w:jc w:val="center"/>
            </w:pPr>
          </w:p>
        </w:tc>
      </w:tr>
    </w:tbl>
    <w:p w:rsidR="000D0EF9" w:rsidRDefault="00CB568B" w:rsidP="00CB568B">
      <w:pPr>
        <w:tabs>
          <w:tab w:val="left" w:pos="5970"/>
        </w:tabs>
      </w:pPr>
      <w:r>
        <w:tab/>
      </w:r>
    </w:p>
    <w:p w:rsidR="00AC4441" w:rsidRDefault="00AC4441" w:rsidP="00375975">
      <w:pPr>
        <w:pStyle w:val="Question"/>
        <w:spacing w:after="0"/>
        <w:contextualSpacing w:val="0"/>
      </w:pPr>
      <w:bookmarkStart w:id="5" w:name="_Toc372555931"/>
      <w:r>
        <w:t xml:space="preserve">Do you agree with </w:t>
      </w:r>
      <w:r w:rsidR="003C7ECE">
        <w:t xml:space="preserve">our general </w:t>
      </w:r>
      <w:r>
        <w:t>approach to understanding the impact of different discount</w:t>
      </w:r>
      <w:r w:rsidR="003C7ECE">
        <w:t>s</w:t>
      </w:r>
      <w:r>
        <w:t>?</w:t>
      </w:r>
      <w:bookmarkEnd w:id="5"/>
    </w:p>
    <w:p w:rsidR="00857397" w:rsidRDefault="00857397" w:rsidP="00375975">
      <w:pPr>
        <w:pStyle w:val="Sub-question"/>
      </w:pPr>
      <w:r>
        <w:tab/>
        <w:t>(a)</w:t>
      </w:r>
      <w:r>
        <w:tab/>
      </w:r>
      <w:r w:rsidR="00AC4441">
        <w:t>Do you agree with the range of backstop PPA discounts we have chosen to model?</w:t>
      </w:r>
    </w:p>
    <w:p w:rsidR="00857397" w:rsidRDefault="00857397" w:rsidP="00375975">
      <w:pPr>
        <w:pStyle w:val="Sub-question"/>
      </w:pPr>
      <w:r>
        <w:tab/>
        <w:t>(b)</w:t>
      </w:r>
      <w:r>
        <w:tab/>
      </w:r>
      <w:r w:rsidR="003C7ECE">
        <w:t>Do you agree with the range of route-to-market scenarios we have selected?</w:t>
      </w:r>
    </w:p>
    <w:p w:rsidR="00AC4441" w:rsidRDefault="00743543" w:rsidP="000B5F2C">
      <w:pPr>
        <w:pStyle w:val="Heading2"/>
        <w:pageBreakBefore/>
      </w:pPr>
      <w:r>
        <w:lastRenderedPageBreak/>
        <w:t>Choosing a backstop discount</w:t>
      </w:r>
    </w:p>
    <w:p w:rsidR="0029408D" w:rsidRDefault="0029408D" w:rsidP="0029408D">
      <w:pPr>
        <w:pStyle w:val="Heading3"/>
      </w:pPr>
      <w:r>
        <w:t>General principles</w:t>
      </w:r>
    </w:p>
    <w:p w:rsidR="00743543" w:rsidRDefault="00857397" w:rsidP="0025082F">
      <w:pPr>
        <w:keepNext/>
        <w:keepLines/>
      </w:pPr>
      <w:r>
        <w:t xml:space="preserve">Given the objective of the OLR to be a ‘last resort’, we believe that the backstop discount should be large </w:t>
      </w:r>
      <w:r w:rsidR="000F64A0">
        <w:t>enough</w:t>
      </w:r>
      <w:r>
        <w:t xml:space="preserve"> to minimise the risk that it ends up being smaller than discounts in the market while still providing sufficient ‘firm’ revenue to allow projects to obtain a reasonable level of debt and equity returns. </w:t>
      </w:r>
    </w:p>
    <w:p w:rsidR="00857397" w:rsidRDefault="00857397" w:rsidP="00743543">
      <w:r>
        <w:t>We therefore propose that the</w:t>
      </w:r>
      <w:r w:rsidR="00600414">
        <w:t xml:space="preserve"> general principles for selecting an appropriate backstop</w:t>
      </w:r>
      <w:r w:rsidR="00840699">
        <w:t xml:space="preserve"> discount should be as follows.</w:t>
      </w:r>
    </w:p>
    <w:p w:rsidR="00857397" w:rsidRDefault="00857397" w:rsidP="00857397">
      <w:pPr>
        <w:pStyle w:val="ListParagraph"/>
        <w:numPr>
          <w:ilvl w:val="0"/>
          <w:numId w:val="38"/>
        </w:numPr>
      </w:pPr>
      <w:r>
        <w:t xml:space="preserve">It should be larger than </w:t>
      </w:r>
      <w:r w:rsidR="00B66187">
        <w:t xml:space="preserve">discounts </w:t>
      </w:r>
      <w:r w:rsidR="00AC53B4">
        <w:t xml:space="preserve">that could </w:t>
      </w:r>
      <w:r w:rsidR="00840699">
        <w:t xml:space="preserve">reasonably </w:t>
      </w:r>
      <w:r w:rsidR="00A97518">
        <w:t xml:space="preserve">be </w:t>
      </w:r>
      <w:r w:rsidR="00B66187">
        <w:t xml:space="preserve">expected to </w:t>
      </w:r>
      <w:r w:rsidR="00AC53B4">
        <w:t xml:space="preserve">be available in the market </w:t>
      </w:r>
      <w:r w:rsidR="00B66187">
        <w:t xml:space="preserve">at any point </w:t>
      </w:r>
      <w:r w:rsidR="00840699">
        <w:t xml:space="preserve">over the </w:t>
      </w:r>
      <w:proofErr w:type="spellStart"/>
      <w:r w:rsidR="00840699">
        <w:t>CfD</w:t>
      </w:r>
      <w:proofErr w:type="spellEnd"/>
      <w:r w:rsidR="00840699">
        <w:t xml:space="preserve"> term</w:t>
      </w:r>
      <w:r w:rsidR="00B66187">
        <w:t>.</w:t>
      </w:r>
    </w:p>
    <w:p w:rsidR="00B66187" w:rsidRDefault="00A97518" w:rsidP="00857397">
      <w:pPr>
        <w:pStyle w:val="ListParagraph"/>
        <w:numPr>
          <w:ilvl w:val="0"/>
          <w:numId w:val="38"/>
        </w:numPr>
      </w:pPr>
      <w:r>
        <w:t>With a</w:t>
      </w:r>
      <w:r w:rsidR="00600414">
        <w:t xml:space="preserve"> shorter-term contracting strategy supported by the OLR</w:t>
      </w:r>
      <w:r>
        <w:t xml:space="preserve">, the project </w:t>
      </w:r>
      <w:r w:rsidR="00B66187">
        <w:t xml:space="preserve">should </w:t>
      </w:r>
      <w:r>
        <w:t xml:space="preserve">be capable of </w:t>
      </w:r>
      <w:r w:rsidR="00B66187">
        <w:t>support</w:t>
      </w:r>
      <w:r>
        <w:t>ing</w:t>
      </w:r>
      <w:r w:rsidR="00B66187">
        <w:t xml:space="preserve"> a </w:t>
      </w:r>
      <w:r w:rsidR="0025082F">
        <w:t xml:space="preserve">reasonable </w:t>
      </w:r>
      <w:r w:rsidR="00B66187">
        <w:t xml:space="preserve">level of gearing </w:t>
      </w:r>
      <w:r w:rsidR="0025082F">
        <w:t xml:space="preserve">when compared with the gearing </w:t>
      </w:r>
      <w:r w:rsidR="00B66187">
        <w:t xml:space="preserve">achievable </w:t>
      </w:r>
      <w:r w:rsidR="0025082F">
        <w:t xml:space="preserve">if the project had a </w:t>
      </w:r>
      <w:r w:rsidR="00B66187">
        <w:t>15-year PPA.</w:t>
      </w:r>
    </w:p>
    <w:p w:rsidR="00B66187" w:rsidRDefault="00600414" w:rsidP="00857397">
      <w:pPr>
        <w:pStyle w:val="ListParagraph"/>
        <w:numPr>
          <w:ilvl w:val="0"/>
          <w:numId w:val="38"/>
        </w:numPr>
      </w:pPr>
      <w:r w:rsidRPr="00600414">
        <w:t xml:space="preserve">With a shorter-term contracting strategy </w:t>
      </w:r>
      <w:r w:rsidR="00A97518">
        <w:t xml:space="preserve">and </w:t>
      </w:r>
      <w:r w:rsidR="00B66187">
        <w:t xml:space="preserve">reasonable </w:t>
      </w:r>
      <w:r w:rsidR="00A97518">
        <w:t xml:space="preserve">assumptions about </w:t>
      </w:r>
      <w:r w:rsidR="00B66187">
        <w:t xml:space="preserve">route-to-market </w:t>
      </w:r>
      <w:r w:rsidR="00A97518">
        <w:t xml:space="preserve">costs thereafter, equity IRR </w:t>
      </w:r>
      <w:r w:rsidR="008C2E3E">
        <w:t xml:space="preserve">as calculated by our model </w:t>
      </w:r>
      <w:r w:rsidR="00B66187">
        <w:t>should be</w:t>
      </w:r>
      <w:r w:rsidR="00A97518">
        <w:t xml:space="preserve"> </w:t>
      </w:r>
      <w:r w:rsidR="008C2E3E">
        <w:t xml:space="preserve">broadly similar to </w:t>
      </w:r>
      <w:r w:rsidR="00394553">
        <w:t xml:space="preserve">or greater than </w:t>
      </w:r>
      <w:r w:rsidR="00A97518">
        <w:t>the expected IRR under a 15-year PPA.</w:t>
      </w:r>
      <w:r w:rsidR="00394553">
        <w:t xml:space="preserve"> (That is, any reduction in leverage resulting from a move to a shorter-term contracting strategy should be more than offset by the increase in potential upside from better PPA pricing.)</w:t>
      </w:r>
    </w:p>
    <w:p w:rsidR="0025082F" w:rsidRDefault="0025082F" w:rsidP="0025082F">
      <w:pPr>
        <w:pStyle w:val="Question"/>
      </w:pPr>
      <w:bookmarkStart w:id="6" w:name="_Toc372555932"/>
      <w:r>
        <w:t>Do you agree with the proposed criteria for selecting a backstop PPA discount?</w:t>
      </w:r>
      <w:bookmarkEnd w:id="6"/>
    </w:p>
    <w:p w:rsidR="0029408D" w:rsidRDefault="0029408D" w:rsidP="0029408D">
      <w:pPr>
        <w:pStyle w:val="Heading3"/>
      </w:pPr>
      <w:r>
        <w:t>Different discounts for different eligible technologies?</w:t>
      </w:r>
    </w:p>
    <w:p w:rsidR="0029408D" w:rsidRDefault="003A2B19" w:rsidP="0025082F">
      <w:r>
        <w:t>An important question is whether the</w:t>
      </w:r>
      <w:r w:rsidR="00B90CAE">
        <w:t>re should be a single</w:t>
      </w:r>
      <w:r w:rsidR="0029408D">
        <w:t xml:space="preserve"> </w:t>
      </w:r>
      <w:r>
        <w:t>backstop PPA discount</w:t>
      </w:r>
      <w:r w:rsidR="00B90CAE">
        <w:t>, or if it</w:t>
      </w:r>
      <w:r>
        <w:t xml:space="preserve"> </w:t>
      </w:r>
      <w:r w:rsidR="0029408D">
        <w:t xml:space="preserve">should vary across </w:t>
      </w:r>
      <w:r>
        <w:t>eligible technologies</w:t>
      </w:r>
      <w:r w:rsidR="0029408D">
        <w:t>. There are a number of possible approaches:</w:t>
      </w:r>
    </w:p>
    <w:p w:rsidR="0029408D" w:rsidRDefault="0029408D" w:rsidP="0029408D">
      <w:pPr>
        <w:pStyle w:val="ListParagraph"/>
        <w:numPr>
          <w:ilvl w:val="0"/>
          <w:numId w:val="41"/>
        </w:numPr>
      </w:pPr>
      <w:r>
        <w:t>Set a single discount in £/MWh for all eligible technologies.</w:t>
      </w:r>
    </w:p>
    <w:p w:rsidR="0029408D" w:rsidRDefault="0029408D" w:rsidP="0029408D">
      <w:pPr>
        <w:pStyle w:val="ListParagraph"/>
        <w:numPr>
          <w:ilvl w:val="0"/>
          <w:numId w:val="41"/>
        </w:numPr>
      </w:pPr>
      <w:r>
        <w:t xml:space="preserve">Set a discount in £/MWh that represents the same </w:t>
      </w:r>
      <w:r w:rsidR="00B90CAE">
        <w:t>percentage of</w:t>
      </w:r>
      <w:r>
        <w:t xml:space="preserve"> the strike price for each technology.</w:t>
      </w:r>
    </w:p>
    <w:p w:rsidR="00635A30" w:rsidRDefault="00635A30" w:rsidP="0025082F">
      <w:pPr>
        <w:pStyle w:val="ListParagraph"/>
        <w:numPr>
          <w:ilvl w:val="0"/>
          <w:numId w:val="41"/>
        </w:numPr>
      </w:pPr>
      <w:r>
        <w:t xml:space="preserve">Set a discount in £/MWh that represents </w:t>
      </w:r>
      <w:r w:rsidR="00D5258E">
        <w:t xml:space="preserve">the same percentage </w:t>
      </w:r>
      <w:r w:rsidR="003C077B">
        <w:t>of</w:t>
      </w:r>
      <w:r w:rsidR="00D5258E">
        <w:t xml:space="preserve"> expected route-to-market costs</w:t>
      </w:r>
      <w:r w:rsidR="00B90CAE">
        <w:t xml:space="preserve"> for each technology</w:t>
      </w:r>
      <w:r w:rsidR="00D5258E">
        <w:t>.</w:t>
      </w:r>
    </w:p>
    <w:p w:rsidR="003A2B19" w:rsidRDefault="0029408D" w:rsidP="0025082F">
      <w:pPr>
        <w:pStyle w:val="ListParagraph"/>
        <w:numPr>
          <w:ilvl w:val="0"/>
          <w:numId w:val="41"/>
        </w:numPr>
      </w:pPr>
      <w:r>
        <w:t xml:space="preserve">Tailor discounts </w:t>
      </w:r>
      <w:r w:rsidR="003A2B19">
        <w:t xml:space="preserve">to the particular </w:t>
      </w:r>
      <w:r w:rsidR="003A2B19" w:rsidRPr="003A2B19">
        <w:t xml:space="preserve">characteristics of each technology </w:t>
      </w:r>
      <w:r>
        <w:t xml:space="preserve">so that </w:t>
      </w:r>
      <w:r w:rsidR="00635A30">
        <w:t xml:space="preserve">it has the equivalent relative impact on equity return (e.g. </w:t>
      </w:r>
      <w:r w:rsidR="00D5258E">
        <w:t xml:space="preserve">so that </w:t>
      </w:r>
      <w:r w:rsidR="00635A30">
        <w:t xml:space="preserve">the anticipated equity return under a 5-year contracting strategy </w:t>
      </w:r>
      <w:r w:rsidR="00D5258E">
        <w:t xml:space="preserve">represents the same percentage </w:t>
      </w:r>
      <w:r w:rsidR="00635A30">
        <w:t>change to the anticipated return under a 15-year PPA)</w:t>
      </w:r>
      <w:r w:rsidR="003A2B19">
        <w:t>.</w:t>
      </w:r>
      <w:r w:rsidR="00A05B87">
        <w:t xml:space="preserve"> </w:t>
      </w:r>
    </w:p>
    <w:p w:rsidR="003270C7" w:rsidRDefault="00B90CAE" w:rsidP="00B90CAE">
      <w:r>
        <w:t>There are advantages and drawbacks to each of these approaches. In particular, there is a general tension between simplicity and practicality of setting the discount (which favours approaches 1 and 2) and the risk of distorting investment decisions between technologies (which would favour approach 4). We have assessed the impacts of each approach against the assessment criteria in the table below, and would be grateful for the group’s views on the different approaches.</w:t>
      </w:r>
    </w:p>
    <w:p w:rsidR="00394553" w:rsidRDefault="00394553" w:rsidP="00B90CAE">
      <w:r>
        <w:t xml:space="preserve">Clearly a significant factor affecting which approach should be selected is how many technologies are eligible for OLR. No decision has been made on this yet, so for the purposes of this paper it is assumed that all renewable </w:t>
      </w:r>
      <w:proofErr w:type="spellStart"/>
      <w:r>
        <w:t>CfD</w:t>
      </w:r>
      <w:proofErr w:type="spellEnd"/>
      <w:r>
        <w:t>-holding generators are potentially eligible for OLR.</w:t>
      </w:r>
    </w:p>
    <w:tbl>
      <w:tblPr>
        <w:tblW w:w="9356" w:type="dxa"/>
        <w:tblInd w:w="108" w:type="dxa"/>
        <w:tblCellMar>
          <w:left w:w="0" w:type="dxa"/>
          <w:right w:w="0" w:type="dxa"/>
        </w:tblCellMar>
        <w:tblLook w:val="04A0" w:firstRow="1" w:lastRow="0" w:firstColumn="1" w:lastColumn="0" w:noHBand="0" w:noVBand="1"/>
      </w:tblPr>
      <w:tblGrid>
        <w:gridCol w:w="1701"/>
        <w:gridCol w:w="1913"/>
        <w:gridCol w:w="1914"/>
        <w:gridCol w:w="1914"/>
        <w:gridCol w:w="1914"/>
      </w:tblGrid>
      <w:tr w:rsidR="00D5258E" w:rsidRPr="00D5258E" w:rsidTr="00B90CAE">
        <w:trPr>
          <w:cantSplit/>
        </w:trPr>
        <w:tc>
          <w:tcPr>
            <w:tcW w:w="1701" w:type="dxa"/>
            <w:tcBorders>
              <w:top w:val="single" w:sz="8" w:space="0" w:color="4F81BD"/>
              <w:left w:val="single" w:sz="8" w:space="0" w:color="4F81BD"/>
              <w:bottom w:val="single" w:sz="8" w:space="0" w:color="4F81BD"/>
              <w:right w:val="single" w:sz="8" w:space="0" w:color="4F81BD"/>
            </w:tcBorders>
            <w:shd w:val="clear" w:color="auto" w:fill="4F81BD"/>
            <w:tcMar>
              <w:top w:w="0" w:type="dxa"/>
              <w:left w:w="108" w:type="dxa"/>
              <w:bottom w:w="0" w:type="dxa"/>
              <w:right w:w="108" w:type="dxa"/>
            </w:tcMar>
            <w:vAlign w:val="center"/>
            <w:hideMark/>
          </w:tcPr>
          <w:p w:rsidR="00D5258E" w:rsidRPr="00D5258E" w:rsidRDefault="00D5258E" w:rsidP="00B90CAE">
            <w:pPr>
              <w:keepNext/>
              <w:spacing w:before="60" w:after="60" w:line="240" w:lineRule="auto"/>
              <w:rPr>
                <w:b/>
                <w:bCs/>
              </w:rPr>
            </w:pPr>
            <w:r w:rsidRPr="00D5258E">
              <w:rPr>
                <w:b/>
                <w:bCs/>
              </w:rPr>
              <w:lastRenderedPageBreak/>
              <w:t>Criteria</w:t>
            </w:r>
          </w:p>
        </w:tc>
        <w:tc>
          <w:tcPr>
            <w:tcW w:w="1913" w:type="dxa"/>
            <w:tcBorders>
              <w:top w:val="single" w:sz="8" w:space="0" w:color="4F81BD"/>
              <w:left w:val="single" w:sz="8" w:space="0" w:color="4F81BD"/>
              <w:bottom w:val="single" w:sz="8" w:space="0" w:color="4F81BD"/>
              <w:right w:val="single" w:sz="8" w:space="0" w:color="4F81BD"/>
            </w:tcBorders>
            <w:shd w:val="clear" w:color="auto" w:fill="4F81BD"/>
            <w:vAlign w:val="center"/>
          </w:tcPr>
          <w:p w:rsidR="00D5258E" w:rsidRPr="00D5258E" w:rsidRDefault="004376DF" w:rsidP="00B90CAE">
            <w:pPr>
              <w:keepNext/>
              <w:spacing w:before="60" w:after="60" w:line="240" w:lineRule="auto"/>
              <w:rPr>
                <w:b/>
                <w:bCs/>
              </w:rPr>
            </w:pPr>
            <w:r>
              <w:rPr>
                <w:b/>
                <w:bCs/>
              </w:rPr>
              <w:t xml:space="preserve">1. </w:t>
            </w:r>
            <w:r w:rsidR="00D5258E">
              <w:rPr>
                <w:b/>
                <w:bCs/>
              </w:rPr>
              <w:t>Single discount</w:t>
            </w:r>
          </w:p>
        </w:tc>
        <w:tc>
          <w:tcPr>
            <w:tcW w:w="1914" w:type="dxa"/>
            <w:tcBorders>
              <w:top w:val="single" w:sz="8" w:space="0" w:color="4F81BD"/>
              <w:left w:val="single" w:sz="8" w:space="0" w:color="4F81BD"/>
              <w:bottom w:val="single" w:sz="8" w:space="0" w:color="4F81BD"/>
              <w:right w:val="single" w:sz="8" w:space="0" w:color="4F81BD"/>
            </w:tcBorders>
            <w:shd w:val="clear" w:color="auto" w:fill="4F81BD"/>
            <w:vAlign w:val="center"/>
          </w:tcPr>
          <w:p w:rsidR="00D5258E" w:rsidRPr="00D5258E" w:rsidRDefault="004376DF" w:rsidP="00B90CAE">
            <w:pPr>
              <w:keepNext/>
              <w:spacing w:before="60" w:after="60" w:line="240" w:lineRule="auto"/>
              <w:rPr>
                <w:b/>
                <w:bCs/>
              </w:rPr>
            </w:pPr>
            <w:r>
              <w:rPr>
                <w:b/>
                <w:bCs/>
              </w:rPr>
              <w:t xml:space="preserve">2. </w:t>
            </w:r>
            <w:r w:rsidR="00D5258E">
              <w:rPr>
                <w:b/>
                <w:bCs/>
              </w:rPr>
              <w:t>% of SP</w:t>
            </w:r>
          </w:p>
        </w:tc>
        <w:tc>
          <w:tcPr>
            <w:tcW w:w="1914" w:type="dxa"/>
            <w:tcBorders>
              <w:top w:val="single" w:sz="8" w:space="0" w:color="4F81BD"/>
              <w:left w:val="single" w:sz="8" w:space="0" w:color="4F81BD"/>
              <w:bottom w:val="single" w:sz="8" w:space="0" w:color="4F81BD"/>
              <w:right w:val="single" w:sz="8" w:space="0" w:color="4F81BD"/>
            </w:tcBorders>
            <w:shd w:val="clear" w:color="auto" w:fill="4F81BD"/>
            <w:vAlign w:val="center"/>
          </w:tcPr>
          <w:p w:rsidR="00D5258E" w:rsidRPr="00D5258E" w:rsidRDefault="004376DF" w:rsidP="00B90CAE">
            <w:pPr>
              <w:keepNext/>
              <w:spacing w:before="60" w:after="60" w:line="240" w:lineRule="auto"/>
              <w:rPr>
                <w:b/>
                <w:bCs/>
              </w:rPr>
            </w:pPr>
            <w:r>
              <w:rPr>
                <w:b/>
                <w:bCs/>
              </w:rPr>
              <w:t xml:space="preserve">3. </w:t>
            </w:r>
            <w:r w:rsidR="00D5258E">
              <w:rPr>
                <w:b/>
                <w:bCs/>
              </w:rPr>
              <w:t xml:space="preserve">% of </w:t>
            </w:r>
            <w:proofErr w:type="spellStart"/>
            <w:r w:rsidR="00D5258E">
              <w:rPr>
                <w:b/>
                <w:bCs/>
              </w:rPr>
              <w:t>RtM</w:t>
            </w:r>
            <w:proofErr w:type="spellEnd"/>
            <w:r w:rsidR="00D5258E">
              <w:rPr>
                <w:b/>
                <w:bCs/>
              </w:rPr>
              <w:t xml:space="preserve"> costs</w:t>
            </w:r>
          </w:p>
        </w:tc>
        <w:tc>
          <w:tcPr>
            <w:tcW w:w="1914" w:type="dxa"/>
            <w:tcBorders>
              <w:top w:val="single" w:sz="8" w:space="0" w:color="4F81BD"/>
              <w:left w:val="single" w:sz="8" w:space="0" w:color="4F81BD"/>
              <w:bottom w:val="single" w:sz="8" w:space="0" w:color="4F81BD"/>
              <w:right w:val="single" w:sz="8" w:space="0" w:color="4F81BD"/>
            </w:tcBorders>
            <w:shd w:val="clear" w:color="auto" w:fill="4F81BD"/>
            <w:vAlign w:val="center"/>
          </w:tcPr>
          <w:p w:rsidR="00D5258E" w:rsidRPr="00D5258E" w:rsidRDefault="004376DF" w:rsidP="00B90CAE">
            <w:pPr>
              <w:keepNext/>
              <w:spacing w:before="60" w:after="60" w:line="240" w:lineRule="auto"/>
              <w:rPr>
                <w:b/>
                <w:bCs/>
              </w:rPr>
            </w:pPr>
            <w:r>
              <w:rPr>
                <w:b/>
                <w:bCs/>
              </w:rPr>
              <w:t xml:space="preserve">4. </w:t>
            </w:r>
            <w:r w:rsidR="00D5258E">
              <w:rPr>
                <w:b/>
                <w:bCs/>
              </w:rPr>
              <w:t>Tailored</w:t>
            </w:r>
          </w:p>
        </w:tc>
      </w:tr>
      <w:tr w:rsidR="00F26BF4" w:rsidRPr="00D5258E" w:rsidTr="00B90CAE">
        <w:trPr>
          <w:cantSplit/>
        </w:trPr>
        <w:tc>
          <w:tcPr>
            <w:tcW w:w="1701" w:type="dxa"/>
            <w:tcBorders>
              <w:top w:val="nil"/>
              <w:left w:val="single" w:sz="8" w:space="0" w:color="4F81BD"/>
              <w:bottom w:val="single" w:sz="8" w:space="0" w:color="4F81BD"/>
              <w:right w:val="single" w:sz="8" w:space="0" w:color="4F81BD"/>
            </w:tcBorders>
            <w:tcMar>
              <w:top w:w="0" w:type="dxa"/>
              <w:left w:w="108" w:type="dxa"/>
              <w:bottom w:w="0" w:type="dxa"/>
              <w:right w:w="108" w:type="dxa"/>
            </w:tcMar>
            <w:vAlign w:val="center"/>
          </w:tcPr>
          <w:p w:rsidR="00D5258E" w:rsidRPr="00D5258E" w:rsidRDefault="00D5258E" w:rsidP="00F26BF4">
            <w:pPr>
              <w:spacing w:before="60" w:after="60" w:line="240" w:lineRule="auto"/>
              <w:rPr>
                <w:b/>
              </w:rPr>
            </w:pPr>
            <w:r w:rsidRPr="00D5258E">
              <w:rPr>
                <w:b/>
              </w:rPr>
              <w:t>Availability of financeable routes to market for independents</w:t>
            </w:r>
          </w:p>
        </w:tc>
        <w:tc>
          <w:tcPr>
            <w:tcW w:w="1913" w:type="dxa"/>
            <w:tcBorders>
              <w:top w:val="nil"/>
              <w:left w:val="single" w:sz="8" w:space="0" w:color="4F81BD"/>
              <w:bottom w:val="single" w:sz="8" w:space="0" w:color="4F81BD"/>
              <w:right w:val="single" w:sz="8" w:space="0" w:color="4F81BD"/>
            </w:tcBorders>
            <w:shd w:val="clear" w:color="auto" w:fill="FFC000"/>
            <w:vAlign w:val="center"/>
          </w:tcPr>
          <w:p w:rsidR="00D5258E" w:rsidRPr="00B332FB" w:rsidRDefault="00B90CAE" w:rsidP="00F26BF4">
            <w:pPr>
              <w:spacing w:before="60" w:after="60" w:line="240" w:lineRule="auto"/>
            </w:pPr>
            <w:r>
              <w:t>Discount may be too large for some technologies, reducing impact on route to market choice.</w:t>
            </w:r>
          </w:p>
        </w:tc>
        <w:tc>
          <w:tcPr>
            <w:tcW w:w="1914" w:type="dxa"/>
            <w:tcBorders>
              <w:top w:val="single" w:sz="8" w:space="0" w:color="4F81BD"/>
              <w:left w:val="single" w:sz="8" w:space="0" w:color="4F81BD"/>
              <w:bottom w:val="single" w:sz="8" w:space="0" w:color="4F81BD"/>
              <w:right w:val="single" w:sz="8" w:space="0" w:color="4F81BD"/>
            </w:tcBorders>
            <w:shd w:val="reverseDiagStripe" w:color="00B050" w:fill="FFC000"/>
            <w:vAlign w:val="center"/>
          </w:tcPr>
          <w:p w:rsidR="00D5258E" w:rsidRPr="00B332FB" w:rsidRDefault="00B90CAE" w:rsidP="00B90CAE">
            <w:pPr>
              <w:spacing w:before="60" w:after="60" w:line="240" w:lineRule="auto"/>
            </w:pPr>
            <w:r>
              <w:t>Discounts likely to represent a better fit as they are scaled with strike price.</w:t>
            </w:r>
          </w:p>
        </w:tc>
        <w:tc>
          <w:tcPr>
            <w:tcW w:w="1914" w:type="dxa"/>
            <w:tcBorders>
              <w:top w:val="single" w:sz="8" w:space="0" w:color="4F81BD"/>
              <w:left w:val="single" w:sz="8" w:space="0" w:color="4F81BD"/>
              <w:bottom w:val="single" w:sz="8" w:space="0" w:color="4F81BD"/>
              <w:right w:val="single" w:sz="8" w:space="0" w:color="4F81BD"/>
            </w:tcBorders>
            <w:shd w:val="reverseDiagStripe" w:color="00B050" w:fill="FFC000"/>
            <w:vAlign w:val="center"/>
          </w:tcPr>
          <w:p w:rsidR="00D5258E" w:rsidRPr="00B332FB" w:rsidRDefault="00B90CAE" w:rsidP="00F26BF4">
            <w:pPr>
              <w:spacing w:before="60" w:after="60" w:line="240" w:lineRule="auto"/>
            </w:pPr>
            <w:r w:rsidRPr="00B90CAE">
              <w:t>Discounts likely to represent a better fit to technology</w:t>
            </w:r>
            <w:r>
              <w:t xml:space="preserve"> risks.</w:t>
            </w:r>
          </w:p>
        </w:tc>
        <w:tc>
          <w:tcPr>
            <w:tcW w:w="1914" w:type="dxa"/>
            <w:tcBorders>
              <w:top w:val="nil"/>
              <w:left w:val="single" w:sz="8" w:space="0" w:color="4F81BD"/>
              <w:bottom w:val="single" w:sz="8" w:space="0" w:color="4F81BD"/>
              <w:right w:val="single" w:sz="8" w:space="0" w:color="4F81BD"/>
            </w:tcBorders>
            <w:shd w:val="clear" w:color="auto" w:fill="00B050"/>
            <w:vAlign w:val="center"/>
          </w:tcPr>
          <w:p w:rsidR="00D5258E" w:rsidRPr="00B332FB" w:rsidRDefault="00B90CAE" w:rsidP="00B90CAE">
            <w:pPr>
              <w:spacing w:before="60" w:after="60" w:line="240" w:lineRule="auto"/>
            </w:pPr>
            <w:r>
              <w:t>Discounts should be o</w:t>
            </w:r>
            <w:r w:rsidR="00B332FB">
              <w:t xml:space="preserve">ptimal </w:t>
            </w:r>
            <w:r>
              <w:t xml:space="preserve">for each </w:t>
            </w:r>
            <w:r w:rsidR="00B332FB">
              <w:t>technology.</w:t>
            </w:r>
          </w:p>
        </w:tc>
      </w:tr>
      <w:tr w:rsidR="00F26BF4" w:rsidRPr="00D5258E" w:rsidTr="00B90CAE">
        <w:trPr>
          <w:cantSplit/>
        </w:trPr>
        <w:tc>
          <w:tcPr>
            <w:tcW w:w="1701" w:type="dxa"/>
            <w:tcBorders>
              <w:top w:val="nil"/>
              <w:left w:val="single" w:sz="8" w:space="0" w:color="4F81BD"/>
              <w:bottom w:val="single" w:sz="8" w:space="0" w:color="4F81BD"/>
              <w:right w:val="single" w:sz="8" w:space="0" w:color="4F81BD"/>
            </w:tcBorders>
            <w:tcMar>
              <w:top w:w="0" w:type="dxa"/>
              <w:left w:w="108" w:type="dxa"/>
              <w:bottom w:w="0" w:type="dxa"/>
              <w:right w:w="108" w:type="dxa"/>
            </w:tcMar>
            <w:vAlign w:val="center"/>
          </w:tcPr>
          <w:p w:rsidR="00F26BF4" w:rsidRPr="00D5258E" w:rsidRDefault="00F26BF4" w:rsidP="00F26BF4">
            <w:pPr>
              <w:spacing w:before="60" w:after="60" w:line="240" w:lineRule="auto"/>
              <w:rPr>
                <w:b/>
              </w:rPr>
            </w:pPr>
            <w:r w:rsidRPr="00D5258E">
              <w:rPr>
                <w:b/>
              </w:rPr>
              <w:t>Minimise system costs</w:t>
            </w:r>
          </w:p>
        </w:tc>
        <w:tc>
          <w:tcPr>
            <w:tcW w:w="1913" w:type="dxa"/>
            <w:vMerge w:val="restart"/>
            <w:tcBorders>
              <w:top w:val="nil"/>
              <w:left w:val="single" w:sz="8" w:space="0" w:color="4F81BD"/>
              <w:right w:val="single" w:sz="8" w:space="0" w:color="4F81BD"/>
            </w:tcBorders>
            <w:shd w:val="clear" w:color="auto" w:fill="FFC000"/>
            <w:vAlign w:val="center"/>
          </w:tcPr>
          <w:p w:rsidR="00F26BF4" w:rsidRPr="00B332FB" w:rsidRDefault="00F26BF4" w:rsidP="00F26BF4">
            <w:pPr>
              <w:spacing w:before="60" w:after="60" w:line="240" w:lineRule="auto"/>
            </w:pPr>
            <w:r>
              <w:t>Discount may be too small for some technologies, increasing probability of access.</w:t>
            </w:r>
          </w:p>
        </w:tc>
        <w:tc>
          <w:tcPr>
            <w:tcW w:w="1914" w:type="dxa"/>
            <w:vMerge w:val="restart"/>
            <w:tcBorders>
              <w:top w:val="single" w:sz="8" w:space="0" w:color="4F81BD"/>
              <w:left w:val="single" w:sz="8" w:space="0" w:color="4F81BD"/>
              <w:right w:val="single" w:sz="8" w:space="0" w:color="4F81BD"/>
            </w:tcBorders>
            <w:shd w:val="clear" w:color="auto" w:fill="FFC000"/>
            <w:vAlign w:val="center"/>
          </w:tcPr>
          <w:p w:rsidR="00F26BF4" w:rsidRPr="00B332FB" w:rsidRDefault="00F26BF4" w:rsidP="00F26BF4">
            <w:pPr>
              <w:spacing w:before="60" w:after="60" w:line="240" w:lineRule="auto"/>
            </w:pPr>
            <w:r w:rsidRPr="00331A20">
              <w:t>Discount may be too small for some technologies, increasing probability of access.</w:t>
            </w:r>
          </w:p>
        </w:tc>
        <w:tc>
          <w:tcPr>
            <w:tcW w:w="1914" w:type="dxa"/>
            <w:vMerge w:val="restart"/>
            <w:tcBorders>
              <w:top w:val="single" w:sz="8" w:space="0" w:color="4F81BD"/>
              <w:left w:val="single" w:sz="8" w:space="0" w:color="4F81BD"/>
              <w:right w:val="single" w:sz="8" w:space="0" w:color="4F81BD"/>
            </w:tcBorders>
            <w:shd w:val="clear" w:color="auto" w:fill="00B050"/>
            <w:vAlign w:val="center"/>
          </w:tcPr>
          <w:p w:rsidR="00F26BF4" w:rsidRPr="00B332FB" w:rsidRDefault="00F26BF4" w:rsidP="00F26BF4">
            <w:pPr>
              <w:spacing w:before="60" w:after="60" w:line="240" w:lineRule="auto"/>
            </w:pPr>
            <w:r>
              <w:t xml:space="preserve">Discount sized appropriately to </w:t>
            </w:r>
            <w:proofErr w:type="spellStart"/>
            <w:r>
              <w:t>RtM</w:t>
            </w:r>
            <w:proofErr w:type="spellEnd"/>
            <w:r>
              <w:t xml:space="preserve"> costs, minimising probability of access.</w:t>
            </w:r>
          </w:p>
        </w:tc>
        <w:tc>
          <w:tcPr>
            <w:tcW w:w="1914" w:type="dxa"/>
            <w:vMerge w:val="restart"/>
            <w:tcBorders>
              <w:top w:val="nil"/>
              <w:left w:val="single" w:sz="8" w:space="0" w:color="4F81BD"/>
              <w:right w:val="single" w:sz="8" w:space="0" w:color="4F81BD"/>
            </w:tcBorders>
            <w:shd w:val="clear" w:color="auto" w:fill="00B050"/>
            <w:vAlign w:val="center"/>
          </w:tcPr>
          <w:p w:rsidR="00F26BF4" w:rsidRPr="00B332FB" w:rsidRDefault="00F26BF4" w:rsidP="00F26BF4">
            <w:pPr>
              <w:spacing w:before="60" w:after="60" w:line="240" w:lineRule="auto"/>
            </w:pPr>
            <w:r w:rsidRPr="00331A20">
              <w:t xml:space="preserve">Discount sized appropriately to </w:t>
            </w:r>
            <w:proofErr w:type="spellStart"/>
            <w:r w:rsidRPr="00331A20">
              <w:t>RtM</w:t>
            </w:r>
            <w:proofErr w:type="spellEnd"/>
            <w:r w:rsidRPr="00331A20">
              <w:t xml:space="preserve"> costs, minimising probability of access.</w:t>
            </w:r>
          </w:p>
        </w:tc>
      </w:tr>
      <w:tr w:rsidR="00F26BF4" w:rsidRPr="00D5258E" w:rsidTr="00B90CAE">
        <w:trPr>
          <w:cantSplit/>
        </w:trPr>
        <w:tc>
          <w:tcPr>
            <w:tcW w:w="1701" w:type="dxa"/>
            <w:tcBorders>
              <w:top w:val="nil"/>
              <w:left w:val="single" w:sz="8" w:space="0" w:color="4F81BD"/>
              <w:bottom w:val="single" w:sz="8" w:space="0" w:color="4F81BD"/>
              <w:right w:val="single" w:sz="8" w:space="0" w:color="4F81BD"/>
            </w:tcBorders>
            <w:tcMar>
              <w:top w:w="0" w:type="dxa"/>
              <w:left w:w="108" w:type="dxa"/>
              <w:bottom w:w="0" w:type="dxa"/>
              <w:right w:w="108" w:type="dxa"/>
            </w:tcMar>
            <w:vAlign w:val="center"/>
          </w:tcPr>
          <w:p w:rsidR="00F26BF4" w:rsidRPr="00D5258E" w:rsidRDefault="00F26BF4" w:rsidP="00F26BF4">
            <w:pPr>
              <w:spacing w:before="60" w:after="60" w:line="240" w:lineRule="auto"/>
              <w:rPr>
                <w:b/>
              </w:rPr>
            </w:pPr>
            <w:r w:rsidRPr="00D5258E">
              <w:rPr>
                <w:b/>
              </w:rPr>
              <w:t xml:space="preserve">Impact on suppliers </w:t>
            </w:r>
          </w:p>
        </w:tc>
        <w:tc>
          <w:tcPr>
            <w:tcW w:w="1913" w:type="dxa"/>
            <w:vMerge/>
            <w:tcBorders>
              <w:left w:val="single" w:sz="8" w:space="0" w:color="4F81BD"/>
              <w:bottom w:val="single" w:sz="8" w:space="0" w:color="4F81BD"/>
              <w:right w:val="single" w:sz="8" w:space="0" w:color="4F81BD"/>
            </w:tcBorders>
            <w:vAlign w:val="center"/>
          </w:tcPr>
          <w:p w:rsidR="00F26BF4" w:rsidRPr="00B332FB" w:rsidRDefault="00F26BF4" w:rsidP="00F26BF4">
            <w:pPr>
              <w:spacing w:before="60" w:after="60" w:line="240" w:lineRule="auto"/>
            </w:pPr>
          </w:p>
        </w:tc>
        <w:tc>
          <w:tcPr>
            <w:tcW w:w="1914" w:type="dxa"/>
            <w:vMerge/>
            <w:tcBorders>
              <w:left w:val="single" w:sz="8" w:space="0" w:color="4F81BD"/>
              <w:bottom w:val="single" w:sz="8" w:space="0" w:color="4F81BD"/>
              <w:right w:val="single" w:sz="8" w:space="0" w:color="4F81BD"/>
            </w:tcBorders>
            <w:vAlign w:val="center"/>
          </w:tcPr>
          <w:p w:rsidR="00F26BF4" w:rsidRPr="00B332FB" w:rsidRDefault="00F26BF4" w:rsidP="00F26BF4">
            <w:pPr>
              <w:spacing w:before="60" w:after="60" w:line="240" w:lineRule="auto"/>
            </w:pPr>
          </w:p>
        </w:tc>
        <w:tc>
          <w:tcPr>
            <w:tcW w:w="1914" w:type="dxa"/>
            <w:vMerge/>
            <w:tcBorders>
              <w:left w:val="single" w:sz="8" w:space="0" w:color="4F81BD"/>
              <w:bottom w:val="single" w:sz="8" w:space="0" w:color="4F81BD"/>
              <w:right w:val="single" w:sz="8" w:space="0" w:color="4F81BD"/>
            </w:tcBorders>
            <w:vAlign w:val="center"/>
          </w:tcPr>
          <w:p w:rsidR="00F26BF4" w:rsidRPr="00B332FB" w:rsidRDefault="00F26BF4" w:rsidP="00F26BF4">
            <w:pPr>
              <w:spacing w:before="60" w:after="60" w:line="240" w:lineRule="auto"/>
            </w:pPr>
          </w:p>
        </w:tc>
        <w:tc>
          <w:tcPr>
            <w:tcW w:w="1914" w:type="dxa"/>
            <w:vMerge/>
            <w:tcBorders>
              <w:left w:val="single" w:sz="8" w:space="0" w:color="4F81BD"/>
              <w:bottom w:val="single" w:sz="8" w:space="0" w:color="4F81BD"/>
              <w:right w:val="single" w:sz="8" w:space="0" w:color="4F81BD"/>
            </w:tcBorders>
            <w:vAlign w:val="center"/>
          </w:tcPr>
          <w:p w:rsidR="00F26BF4" w:rsidRPr="00B332FB" w:rsidRDefault="00F26BF4" w:rsidP="00F26BF4">
            <w:pPr>
              <w:spacing w:before="60" w:after="60" w:line="240" w:lineRule="auto"/>
            </w:pPr>
          </w:p>
        </w:tc>
      </w:tr>
      <w:tr w:rsidR="00D5258E" w:rsidRPr="00D5258E" w:rsidTr="00B90CAE">
        <w:trPr>
          <w:cantSplit/>
        </w:trPr>
        <w:tc>
          <w:tcPr>
            <w:tcW w:w="1701" w:type="dxa"/>
            <w:tcBorders>
              <w:top w:val="nil"/>
              <w:left w:val="single" w:sz="8" w:space="0" w:color="4F81BD"/>
              <w:bottom w:val="single" w:sz="8" w:space="0" w:color="4F81BD"/>
              <w:right w:val="single" w:sz="8" w:space="0" w:color="4F81BD"/>
            </w:tcBorders>
            <w:tcMar>
              <w:top w:w="0" w:type="dxa"/>
              <w:left w:w="108" w:type="dxa"/>
              <w:bottom w:w="0" w:type="dxa"/>
              <w:right w:w="108" w:type="dxa"/>
            </w:tcMar>
            <w:vAlign w:val="center"/>
          </w:tcPr>
          <w:p w:rsidR="00D5258E" w:rsidRPr="00D5258E" w:rsidRDefault="00D5258E" w:rsidP="00F26BF4">
            <w:pPr>
              <w:spacing w:before="60" w:after="60" w:line="240" w:lineRule="auto"/>
              <w:rPr>
                <w:b/>
              </w:rPr>
            </w:pPr>
            <w:r w:rsidRPr="00D5258E">
              <w:rPr>
                <w:b/>
              </w:rPr>
              <w:t>Potential for market distortions</w:t>
            </w:r>
          </w:p>
        </w:tc>
        <w:tc>
          <w:tcPr>
            <w:tcW w:w="1913" w:type="dxa"/>
            <w:tcBorders>
              <w:top w:val="nil"/>
              <w:left w:val="single" w:sz="8" w:space="0" w:color="4F81BD"/>
              <w:bottom w:val="single" w:sz="8" w:space="0" w:color="4F81BD"/>
              <w:right w:val="single" w:sz="8" w:space="0" w:color="4F81BD"/>
            </w:tcBorders>
            <w:shd w:val="clear" w:color="auto" w:fill="FF0000"/>
            <w:vAlign w:val="center"/>
          </w:tcPr>
          <w:p w:rsidR="00D5258E" w:rsidRPr="00F26BF4" w:rsidRDefault="00F26BF4" w:rsidP="00F26BF4">
            <w:pPr>
              <w:spacing w:before="60" w:after="60" w:line="240" w:lineRule="auto"/>
            </w:pPr>
            <w:r>
              <w:t>Potential to distort capital allocation between technologies if discount has differential impact.</w:t>
            </w:r>
          </w:p>
        </w:tc>
        <w:tc>
          <w:tcPr>
            <w:tcW w:w="1914" w:type="dxa"/>
            <w:tcBorders>
              <w:top w:val="nil"/>
              <w:left w:val="single" w:sz="8" w:space="0" w:color="4F81BD"/>
              <w:bottom w:val="single" w:sz="8" w:space="0" w:color="4F81BD"/>
              <w:right w:val="single" w:sz="8" w:space="0" w:color="4F81BD"/>
            </w:tcBorders>
            <w:shd w:val="clear" w:color="auto" w:fill="FFC000"/>
            <w:vAlign w:val="center"/>
          </w:tcPr>
          <w:p w:rsidR="00D5258E" w:rsidRPr="00B332FB" w:rsidRDefault="00F26BF4" w:rsidP="00F26BF4">
            <w:pPr>
              <w:spacing w:before="60" w:after="60" w:line="240" w:lineRule="auto"/>
            </w:pPr>
            <w:r>
              <w:t>Reduced distortion as discount is equivalent in terms of SP (but other factors may affect impact).</w:t>
            </w:r>
          </w:p>
        </w:tc>
        <w:tc>
          <w:tcPr>
            <w:tcW w:w="1914" w:type="dxa"/>
            <w:tcBorders>
              <w:top w:val="nil"/>
              <w:left w:val="single" w:sz="8" w:space="0" w:color="4F81BD"/>
              <w:bottom w:val="single" w:sz="8" w:space="0" w:color="4F81BD"/>
              <w:right w:val="single" w:sz="8" w:space="0" w:color="4F81BD"/>
            </w:tcBorders>
            <w:shd w:val="clear" w:color="auto" w:fill="FFC000"/>
            <w:vAlign w:val="center"/>
          </w:tcPr>
          <w:p w:rsidR="00D5258E" w:rsidRPr="00B332FB" w:rsidRDefault="00F26BF4" w:rsidP="00F26BF4">
            <w:pPr>
              <w:spacing w:before="60" w:after="60" w:line="240" w:lineRule="auto"/>
            </w:pPr>
            <w:r w:rsidRPr="00F26BF4">
              <w:t>Reduced distortion as discou</w:t>
            </w:r>
            <w:r>
              <w:t xml:space="preserve">nt is equivalent in terms of </w:t>
            </w:r>
            <w:proofErr w:type="spellStart"/>
            <w:r>
              <w:t>RtM</w:t>
            </w:r>
            <w:proofErr w:type="spellEnd"/>
            <w:r>
              <w:t xml:space="preserve"> costs </w:t>
            </w:r>
            <w:r w:rsidRPr="00F26BF4">
              <w:t>(but other factors may affect impact).</w:t>
            </w:r>
          </w:p>
        </w:tc>
        <w:tc>
          <w:tcPr>
            <w:tcW w:w="1914" w:type="dxa"/>
            <w:tcBorders>
              <w:top w:val="nil"/>
              <w:left w:val="single" w:sz="8" w:space="0" w:color="4F81BD"/>
              <w:bottom w:val="single" w:sz="8" w:space="0" w:color="4F81BD"/>
              <w:right w:val="single" w:sz="8" w:space="0" w:color="4F81BD"/>
            </w:tcBorders>
            <w:shd w:val="clear" w:color="auto" w:fill="00B050"/>
            <w:vAlign w:val="center"/>
          </w:tcPr>
          <w:p w:rsidR="00D5258E" w:rsidRPr="00B332FB" w:rsidRDefault="00F26BF4" w:rsidP="00F26BF4">
            <w:pPr>
              <w:spacing w:before="60" w:after="60" w:line="240" w:lineRule="auto"/>
            </w:pPr>
            <w:r>
              <w:t>Discount has equivalent impact on all technologies, so minimal distortion.</w:t>
            </w:r>
          </w:p>
        </w:tc>
      </w:tr>
      <w:tr w:rsidR="00F26BF4" w:rsidRPr="00D5258E" w:rsidTr="00B90CAE">
        <w:trPr>
          <w:cantSplit/>
          <w:trHeight w:val="80"/>
        </w:trPr>
        <w:tc>
          <w:tcPr>
            <w:tcW w:w="1701"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vAlign w:val="center"/>
          </w:tcPr>
          <w:p w:rsidR="00D5258E" w:rsidRPr="00D5258E" w:rsidRDefault="00D5258E" w:rsidP="00F26BF4">
            <w:pPr>
              <w:spacing w:before="60" w:after="60" w:line="240" w:lineRule="auto"/>
              <w:rPr>
                <w:b/>
              </w:rPr>
            </w:pPr>
            <w:r w:rsidRPr="00D5258E">
              <w:rPr>
                <w:b/>
              </w:rPr>
              <w:t>Practicality and cost of implementation and administration</w:t>
            </w:r>
          </w:p>
        </w:tc>
        <w:tc>
          <w:tcPr>
            <w:tcW w:w="1913" w:type="dxa"/>
            <w:tcBorders>
              <w:top w:val="single" w:sz="8" w:space="0" w:color="4F81BD"/>
              <w:left w:val="single" w:sz="8" w:space="0" w:color="4F81BD"/>
              <w:bottom w:val="single" w:sz="8" w:space="0" w:color="4F81BD"/>
              <w:right w:val="single" w:sz="8" w:space="0" w:color="4F81BD"/>
            </w:tcBorders>
            <w:shd w:val="clear" w:color="auto" w:fill="00B050"/>
            <w:vAlign w:val="center"/>
          </w:tcPr>
          <w:p w:rsidR="00D5258E" w:rsidRPr="00B332FB" w:rsidRDefault="00F26BF4" w:rsidP="00F26BF4">
            <w:pPr>
              <w:spacing w:before="60" w:after="60" w:line="240" w:lineRule="auto"/>
            </w:pPr>
            <w:r>
              <w:t>Simple to size, communicate and administer</w:t>
            </w:r>
          </w:p>
        </w:tc>
        <w:tc>
          <w:tcPr>
            <w:tcW w:w="1914" w:type="dxa"/>
            <w:tcBorders>
              <w:top w:val="single" w:sz="8" w:space="0" w:color="4F81BD"/>
              <w:left w:val="single" w:sz="8" w:space="0" w:color="4F81BD"/>
              <w:bottom w:val="single" w:sz="8" w:space="0" w:color="4F81BD"/>
              <w:right w:val="single" w:sz="8" w:space="0" w:color="4F81BD"/>
            </w:tcBorders>
            <w:shd w:val="clear" w:color="auto" w:fill="00B050"/>
            <w:vAlign w:val="center"/>
          </w:tcPr>
          <w:p w:rsidR="00D5258E" w:rsidRPr="00B332FB" w:rsidRDefault="00F26BF4" w:rsidP="00F26BF4">
            <w:pPr>
              <w:spacing w:before="60" w:after="60" w:line="240" w:lineRule="auto"/>
            </w:pPr>
            <w:r>
              <w:t>Simple to size and communicate. Marginally more complex to administer.</w:t>
            </w:r>
          </w:p>
        </w:tc>
        <w:tc>
          <w:tcPr>
            <w:tcW w:w="1914" w:type="dxa"/>
            <w:tcBorders>
              <w:top w:val="single" w:sz="8" w:space="0" w:color="4F81BD"/>
              <w:left w:val="single" w:sz="8" w:space="0" w:color="4F81BD"/>
              <w:bottom w:val="single" w:sz="8" w:space="0" w:color="4F81BD"/>
              <w:right w:val="single" w:sz="8" w:space="0" w:color="4F81BD"/>
            </w:tcBorders>
            <w:shd w:val="clear" w:color="auto" w:fill="FFC000"/>
            <w:vAlign w:val="center"/>
          </w:tcPr>
          <w:p w:rsidR="00D5258E" w:rsidRPr="00B332FB" w:rsidRDefault="00F26BF4" w:rsidP="003C077B">
            <w:pPr>
              <w:spacing w:before="60" w:after="60" w:line="240" w:lineRule="auto"/>
            </w:pPr>
            <w:r>
              <w:t xml:space="preserve">More complex to size as </w:t>
            </w:r>
            <w:r w:rsidR="003C077B">
              <w:t xml:space="preserve">requires </w:t>
            </w:r>
            <w:r>
              <w:t xml:space="preserve">estimating </w:t>
            </w:r>
            <w:proofErr w:type="spellStart"/>
            <w:r>
              <w:t>RtM</w:t>
            </w:r>
            <w:proofErr w:type="spellEnd"/>
            <w:r>
              <w:t xml:space="preserve"> costs for each technology</w:t>
            </w:r>
            <w:r w:rsidR="003C077B">
              <w:t>, some of which may not be available</w:t>
            </w:r>
            <w:r>
              <w:t>.</w:t>
            </w:r>
          </w:p>
        </w:tc>
        <w:tc>
          <w:tcPr>
            <w:tcW w:w="1914" w:type="dxa"/>
            <w:tcBorders>
              <w:top w:val="single" w:sz="8" w:space="0" w:color="4F81BD"/>
              <w:left w:val="single" w:sz="8" w:space="0" w:color="4F81BD"/>
              <w:bottom w:val="single" w:sz="8" w:space="0" w:color="4F81BD"/>
              <w:right w:val="single" w:sz="8" w:space="0" w:color="4F81BD"/>
            </w:tcBorders>
            <w:shd w:val="clear" w:color="auto" w:fill="FF0000"/>
            <w:vAlign w:val="center"/>
          </w:tcPr>
          <w:p w:rsidR="00D5258E" w:rsidRPr="00B332FB" w:rsidRDefault="003C077B" w:rsidP="00F26BF4">
            <w:pPr>
              <w:spacing w:before="60" w:after="60" w:line="240" w:lineRule="auto"/>
            </w:pPr>
            <w:r>
              <w:t xml:space="preserve">Complex to size, as requires full understanding of </w:t>
            </w:r>
            <w:proofErr w:type="spellStart"/>
            <w:r>
              <w:t>RtM</w:t>
            </w:r>
            <w:proofErr w:type="spellEnd"/>
            <w:r>
              <w:t xml:space="preserve"> costs, required returns, etc. for each technology.</w:t>
            </w:r>
          </w:p>
        </w:tc>
      </w:tr>
      <w:tr w:rsidR="004376DF" w:rsidRPr="00D5258E" w:rsidTr="00527659">
        <w:trPr>
          <w:cantSplit/>
          <w:trHeight w:val="80"/>
        </w:trPr>
        <w:tc>
          <w:tcPr>
            <w:tcW w:w="1701"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vAlign w:val="center"/>
          </w:tcPr>
          <w:p w:rsidR="004376DF" w:rsidRPr="00D5258E" w:rsidRDefault="004376DF" w:rsidP="00F26BF4">
            <w:pPr>
              <w:spacing w:before="60" w:after="60" w:line="240" w:lineRule="auto"/>
              <w:rPr>
                <w:b/>
              </w:rPr>
            </w:pPr>
            <w:r w:rsidRPr="00D5258E">
              <w:rPr>
                <w:b/>
              </w:rPr>
              <w:t>Legal risk and potential compliance cost</w:t>
            </w:r>
          </w:p>
        </w:tc>
        <w:tc>
          <w:tcPr>
            <w:tcW w:w="7655" w:type="dxa"/>
            <w:gridSpan w:val="4"/>
            <w:tcBorders>
              <w:top w:val="single" w:sz="8" w:space="0" w:color="4F81BD"/>
              <w:left w:val="single" w:sz="8" w:space="0" w:color="4F81BD"/>
              <w:bottom w:val="single" w:sz="8" w:space="0" w:color="4F81BD"/>
              <w:right w:val="single" w:sz="8" w:space="0" w:color="4F81BD"/>
            </w:tcBorders>
            <w:shd w:val="clear" w:color="auto" w:fill="00B050"/>
            <w:vAlign w:val="center"/>
          </w:tcPr>
          <w:p w:rsidR="004376DF" w:rsidRPr="00B332FB" w:rsidRDefault="004376DF" w:rsidP="004376DF">
            <w:pPr>
              <w:spacing w:before="60" w:after="60" w:line="240" w:lineRule="auto"/>
              <w:jc w:val="center"/>
            </w:pPr>
            <w:r>
              <w:t>As long as the process is clearly set out and objective, legal risk should be minimal under all approaches.</w:t>
            </w:r>
          </w:p>
        </w:tc>
      </w:tr>
    </w:tbl>
    <w:p w:rsidR="00D5258E" w:rsidRDefault="00D5258E" w:rsidP="0025082F"/>
    <w:p w:rsidR="004376DF" w:rsidRDefault="004376DF" w:rsidP="00073E8B">
      <w:pPr>
        <w:pStyle w:val="Question"/>
      </w:pPr>
      <w:bookmarkStart w:id="7" w:name="_Toc372555933"/>
      <w:r>
        <w:t>Does the group agree with our assessment of the different approaches to tailoring discounts to technologies?</w:t>
      </w:r>
      <w:bookmarkEnd w:id="7"/>
    </w:p>
    <w:p w:rsidR="00073E8B" w:rsidRDefault="004376DF" w:rsidP="00073E8B">
      <w:pPr>
        <w:pStyle w:val="Question"/>
      </w:pPr>
      <w:bookmarkStart w:id="8" w:name="_Toc372555934"/>
      <w:r>
        <w:t>Which approach does the group consider strikes the best overall balance?</w:t>
      </w:r>
      <w:bookmarkEnd w:id="8"/>
    </w:p>
    <w:sectPr w:rsidR="00073E8B" w:rsidSect="00CC5367">
      <w:headerReference w:type="default" r:id="rId13"/>
      <w:footerReference w:type="default" r:id="rId14"/>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F11" w:rsidRDefault="008C5F11" w:rsidP="005A0ACF">
      <w:pPr>
        <w:spacing w:after="0" w:line="240" w:lineRule="auto"/>
      </w:pPr>
      <w:r>
        <w:separator/>
      </w:r>
    </w:p>
  </w:endnote>
  <w:endnote w:type="continuationSeparator" w:id="0">
    <w:p w:rsidR="008C5F11" w:rsidRDefault="008C5F11" w:rsidP="005A0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613241"/>
      <w:docPartObj>
        <w:docPartGallery w:val="Page Numbers (Bottom of Page)"/>
        <w:docPartUnique/>
      </w:docPartObj>
    </w:sdtPr>
    <w:sdtEndPr>
      <w:rPr>
        <w:noProof/>
      </w:rPr>
    </w:sdtEndPr>
    <w:sdtContent>
      <w:p w:rsidR="00527659" w:rsidRDefault="00527659">
        <w:pPr>
          <w:pStyle w:val="Footer"/>
          <w:jc w:val="right"/>
        </w:pPr>
        <w:r>
          <w:fldChar w:fldCharType="begin"/>
        </w:r>
        <w:r>
          <w:instrText xml:space="preserve"> PAGE   \* MERGEFORMAT </w:instrText>
        </w:r>
        <w:r>
          <w:fldChar w:fldCharType="separate"/>
        </w:r>
        <w:r w:rsidR="00353D68">
          <w:rPr>
            <w:noProof/>
          </w:rPr>
          <w:t>10</w:t>
        </w:r>
        <w:r>
          <w:rPr>
            <w:noProof/>
          </w:rPr>
          <w:fldChar w:fldCharType="end"/>
        </w:r>
      </w:p>
    </w:sdtContent>
  </w:sdt>
  <w:p w:rsidR="00527659" w:rsidRDefault="005276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F11" w:rsidRDefault="008C5F11" w:rsidP="005A0ACF">
      <w:pPr>
        <w:spacing w:after="0" w:line="240" w:lineRule="auto"/>
      </w:pPr>
      <w:r>
        <w:separator/>
      </w:r>
    </w:p>
  </w:footnote>
  <w:footnote w:type="continuationSeparator" w:id="0">
    <w:p w:rsidR="008C5F11" w:rsidRDefault="008C5F11" w:rsidP="005A0ACF">
      <w:pPr>
        <w:spacing w:after="0" w:line="240" w:lineRule="auto"/>
      </w:pPr>
      <w:r>
        <w:continuationSeparator/>
      </w:r>
    </w:p>
  </w:footnote>
  <w:footnote w:id="1">
    <w:p w:rsidR="00527659" w:rsidRPr="00896822" w:rsidRDefault="00527659">
      <w:pPr>
        <w:pStyle w:val="FootnoteText"/>
        <w:rPr>
          <w:lang w:val="en-GB"/>
        </w:rPr>
      </w:pPr>
      <w:r>
        <w:rPr>
          <w:rStyle w:val="FootnoteReference"/>
        </w:rPr>
        <w:footnoteRef/>
      </w:r>
      <w:r>
        <w:t xml:space="preserve"> Note that it is not the intention for the OLR to be available to generators after </w:t>
      </w:r>
      <w:proofErr w:type="spellStart"/>
      <w:r>
        <w:t>CfD</w:t>
      </w:r>
      <w:proofErr w:type="spellEnd"/>
      <w:r>
        <w:t xml:space="preserve"> expiry. The assumption of OLR revenues for project lifetime here may represent an appropriate ‘worst case’ assumption for open-market revenues post-</w:t>
      </w:r>
      <w:proofErr w:type="spellStart"/>
      <w:r>
        <w:t>CfD</w:t>
      </w:r>
      <w:proofErr w:type="spellEnd"/>
      <w:r>
        <w:t xml:space="preserve"> expiry.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659" w:rsidRPr="00804C8B" w:rsidRDefault="00527659" w:rsidP="002D3C56">
    <w:pPr>
      <w:pStyle w:val="Header"/>
      <w:rPr>
        <w:rFonts w:cstheme="minorHAnsi"/>
        <w:b/>
      </w:rPr>
    </w:pPr>
    <w:r>
      <w:rPr>
        <w:rFonts w:cstheme="minorHAnsi"/>
        <w:b/>
      </w:rPr>
      <w:t>O</w:t>
    </w:r>
    <w:r w:rsidR="00353D68">
      <w:rPr>
        <w:rFonts w:cstheme="minorHAnsi"/>
        <w:b/>
      </w:rPr>
      <w:t>LRAG 4.1</w:t>
    </w:r>
    <w:r w:rsidRPr="00804C8B">
      <w:rPr>
        <w:rFonts w:cstheme="minorHAnsi"/>
        <w:b/>
      </w:rPr>
      <w:t xml:space="preserve"> – </w:t>
    </w:r>
    <w:r>
      <w:rPr>
        <w:rFonts w:cstheme="minorHAnsi"/>
        <w:b/>
      </w:rPr>
      <w:t>Backstop PPA discount</w:t>
    </w:r>
    <w:r w:rsidRPr="00804C8B">
      <w:rPr>
        <w:rFonts w:cstheme="minorHAnsi"/>
        <w:b/>
      </w:rPr>
      <w:tab/>
      <w:t>DRAFT FOR DISCUSSION</w:t>
    </w:r>
    <w:r w:rsidRPr="00804C8B">
      <w:rPr>
        <w:rFonts w:cstheme="minorHAnsi"/>
        <w:b/>
      </w:rPr>
      <w:tab/>
    </w:r>
    <w:r>
      <w:rPr>
        <w:rFonts w:cstheme="minorHAnsi"/>
        <w:b/>
      </w:rPr>
      <w:t>20</w:t>
    </w:r>
    <w:r w:rsidRPr="00804C8B">
      <w:rPr>
        <w:rFonts w:cstheme="minorHAnsi"/>
        <w:b/>
      </w:rPr>
      <w:t xml:space="preserve"> </w:t>
    </w:r>
    <w:r>
      <w:rPr>
        <w:rFonts w:cstheme="minorHAnsi"/>
        <w:b/>
      </w:rPr>
      <w:t>November</w:t>
    </w:r>
    <w:r w:rsidRPr="00804C8B">
      <w:rPr>
        <w:rFonts w:cstheme="minorHAnsi"/>
        <w:b/>
      </w:rPr>
      <w:t xml:space="preserve"> 2013</w:t>
    </w:r>
  </w:p>
  <w:p w:rsidR="00527659" w:rsidRDefault="005276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0.5pt;height:127.5pt" o:bullet="t">
        <v:imagedata r:id="rId1" o:title="blue_bullet"/>
      </v:shape>
    </w:pict>
  </w:numPicBullet>
  <w:abstractNum w:abstractNumId="0">
    <w:nsid w:val="01204E49"/>
    <w:multiLevelType w:val="multilevel"/>
    <w:tmpl w:val="37D20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919F8"/>
    <w:multiLevelType w:val="hybridMultilevel"/>
    <w:tmpl w:val="E77C0BE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9A43B6"/>
    <w:multiLevelType w:val="hybridMultilevel"/>
    <w:tmpl w:val="DD2A4E4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AD6554D"/>
    <w:multiLevelType w:val="hybridMultilevel"/>
    <w:tmpl w:val="F30472A0"/>
    <w:lvl w:ilvl="0" w:tplc="D71CC4A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F1F52D1"/>
    <w:multiLevelType w:val="hybridMultilevel"/>
    <w:tmpl w:val="A1EEA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EB732B"/>
    <w:multiLevelType w:val="hybridMultilevel"/>
    <w:tmpl w:val="CC60F54E"/>
    <w:lvl w:ilvl="0" w:tplc="E7AEC50A">
      <w:start w:val="3"/>
      <w:numFmt w:val="decimal"/>
      <w:lvlText w:val="(%1)"/>
      <w:lvlJc w:val="left"/>
      <w:pPr>
        <w:tabs>
          <w:tab w:val="num" w:pos="360"/>
        </w:tabs>
        <w:ind w:left="360" w:hanging="360"/>
      </w:pPr>
      <w:rPr>
        <w:rFonts w:hint="default"/>
      </w:rPr>
    </w:lvl>
    <w:lvl w:ilvl="1" w:tplc="D4AAFF12" w:tentative="1">
      <w:start w:val="1"/>
      <w:numFmt w:val="decimal"/>
      <w:lvlText w:val="(%2)"/>
      <w:lvlJc w:val="left"/>
      <w:pPr>
        <w:tabs>
          <w:tab w:val="num" w:pos="1080"/>
        </w:tabs>
        <w:ind w:left="1080" w:hanging="360"/>
      </w:pPr>
    </w:lvl>
    <w:lvl w:ilvl="2" w:tplc="007CE444" w:tentative="1">
      <w:start w:val="1"/>
      <w:numFmt w:val="decimal"/>
      <w:lvlText w:val="(%3)"/>
      <w:lvlJc w:val="left"/>
      <w:pPr>
        <w:tabs>
          <w:tab w:val="num" w:pos="1800"/>
        </w:tabs>
        <w:ind w:left="1800" w:hanging="360"/>
      </w:pPr>
    </w:lvl>
    <w:lvl w:ilvl="3" w:tplc="95E4F424" w:tentative="1">
      <w:start w:val="1"/>
      <w:numFmt w:val="decimal"/>
      <w:lvlText w:val="(%4)"/>
      <w:lvlJc w:val="left"/>
      <w:pPr>
        <w:tabs>
          <w:tab w:val="num" w:pos="2520"/>
        </w:tabs>
        <w:ind w:left="2520" w:hanging="360"/>
      </w:pPr>
    </w:lvl>
    <w:lvl w:ilvl="4" w:tplc="A664B750" w:tentative="1">
      <w:start w:val="1"/>
      <w:numFmt w:val="decimal"/>
      <w:lvlText w:val="(%5)"/>
      <w:lvlJc w:val="left"/>
      <w:pPr>
        <w:tabs>
          <w:tab w:val="num" w:pos="3240"/>
        </w:tabs>
        <w:ind w:left="3240" w:hanging="360"/>
      </w:pPr>
    </w:lvl>
    <w:lvl w:ilvl="5" w:tplc="2B244852" w:tentative="1">
      <w:start w:val="1"/>
      <w:numFmt w:val="decimal"/>
      <w:lvlText w:val="(%6)"/>
      <w:lvlJc w:val="left"/>
      <w:pPr>
        <w:tabs>
          <w:tab w:val="num" w:pos="3960"/>
        </w:tabs>
        <w:ind w:left="3960" w:hanging="360"/>
      </w:pPr>
    </w:lvl>
    <w:lvl w:ilvl="6" w:tplc="DB7CD8C6" w:tentative="1">
      <w:start w:val="1"/>
      <w:numFmt w:val="decimal"/>
      <w:lvlText w:val="(%7)"/>
      <w:lvlJc w:val="left"/>
      <w:pPr>
        <w:tabs>
          <w:tab w:val="num" w:pos="4680"/>
        </w:tabs>
        <w:ind w:left="4680" w:hanging="360"/>
      </w:pPr>
    </w:lvl>
    <w:lvl w:ilvl="7" w:tplc="B37E9EE0" w:tentative="1">
      <w:start w:val="1"/>
      <w:numFmt w:val="decimal"/>
      <w:lvlText w:val="(%8)"/>
      <w:lvlJc w:val="left"/>
      <w:pPr>
        <w:tabs>
          <w:tab w:val="num" w:pos="5400"/>
        </w:tabs>
        <w:ind w:left="5400" w:hanging="360"/>
      </w:pPr>
    </w:lvl>
    <w:lvl w:ilvl="8" w:tplc="6F8CF0D6" w:tentative="1">
      <w:start w:val="1"/>
      <w:numFmt w:val="decimal"/>
      <w:lvlText w:val="(%9)"/>
      <w:lvlJc w:val="left"/>
      <w:pPr>
        <w:tabs>
          <w:tab w:val="num" w:pos="6120"/>
        </w:tabs>
        <w:ind w:left="6120" w:hanging="360"/>
      </w:pPr>
    </w:lvl>
  </w:abstractNum>
  <w:abstractNum w:abstractNumId="6">
    <w:nsid w:val="13CD663E"/>
    <w:multiLevelType w:val="hybridMultilevel"/>
    <w:tmpl w:val="59FA4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5B56406"/>
    <w:multiLevelType w:val="hybridMultilevel"/>
    <w:tmpl w:val="276C9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85813F4"/>
    <w:multiLevelType w:val="hybridMultilevel"/>
    <w:tmpl w:val="61C41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8B458A8"/>
    <w:multiLevelType w:val="hybridMultilevel"/>
    <w:tmpl w:val="C8D0598A"/>
    <w:lvl w:ilvl="0" w:tplc="16C4BC6C">
      <w:start w:val="1"/>
      <w:numFmt w:val="decimal"/>
      <w:lvlText w:val="Q%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1AC5308D"/>
    <w:multiLevelType w:val="hybridMultilevel"/>
    <w:tmpl w:val="BB5A08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0F352F6"/>
    <w:multiLevelType w:val="hybridMultilevel"/>
    <w:tmpl w:val="C83A0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8561420"/>
    <w:multiLevelType w:val="multilevel"/>
    <w:tmpl w:val="DDD6D69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nsid w:val="2A860673"/>
    <w:multiLevelType w:val="hybridMultilevel"/>
    <w:tmpl w:val="4D86895A"/>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2CFC6E72"/>
    <w:multiLevelType w:val="hybridMultilevel"/>
    <w:tmpl w:val="B1C2FA4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357459E0"/>
    <w:multiLevelType w:val="hybridMultilevel"/>
    <w:tmpl w:val="2182D662"/>
    <w:lvl w:ilvl="0" w:tplc="F3000558">
      <w:start w:val="1"/>
      <w:numFmt w:val="decimal"/>
      <w:pStyle w:val="Question"/>
      <w:lvlText w:val="Q%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38BD7749"/>
    <w:multiLevelType w:val="hybridMultilevel"/>
    <w:tmpl w:val="183C29FC"/>
    <w:lvl w:ilvl="0" w:tplc="62E2D55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92E630B"/>
    <w:multiLevelType w:val="hybridMultilevel"/>
    <w:tmpl w:val="DBB0B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A72624C"/>
    <w:multiLevelType w:val="hybridMultilevel"/>
    <w:tmpl w:val="B11AA2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B670D39"/>
    <w:multiLevelType w:val="hybridMultilevel"/>
    <w:tmpl w:val="03D8AF34"/>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3E3A013A"/>
    <w:multiLevelType w:val="hybridMultilevel"/>
    <w:tmpl w:val="7EF867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E9352CD"/>
    <w:multiLevelType w:val="hybridMultilevel"/>
    <w:tmpl w:val="FCB42AE4"/>
    <w:lvl w:ilvl="0" w:tplc="67F82FC0">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27713E9"/>
    <w:multiLevelType w:val="hybridMultilevel"/>
    <w:tmpl w:val="159C6D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2E33D86"/>
    <w:multiLevelType w:val="hybridMultilevel"/>
    <w:tmpl w:val="C0B69E5E"/>
    <w:lvl w:ilvl="0" w:tplc="17FCA0FE">
      <w:start w:val="2"/>
      <w:numFmt w:val="decimal"/>
      <w:lvlText w:val="(%1)"/>
      <w:lvlJc w:val="left"/>
      <w:pPr>
        <w:tabs>
          <w:tab w:val="num" w:pos="360"/>
        </w:tabs>
        <w:ind w:left="360" w:hanging="360"/>
      </w:pPr>
      <w:rPr>
        <w:rFonts w:hint="default"/>
      </w:rPr>
    </w:lvl>
    <w:lvl w:ilvl="1" w:tplc="4A028C88" w:tentative="1">
      <w:start w:val="1"/>
      <w:numFmt w:val="decimal"/>
      <w:lvlText w:val="(%2)"/>
      <w:lvlJc w:val="left"/>
      <w:pPr>
        <w:tabs>
          <w:tab w:val="num" w:pos="1080"/>
        </w:tabs>
        <w:ind w:left="1080" w:hanging="360"/>
      </w:pPr>
    </w:lvl>
    <w:lvl w:ilvl="2" w:tplc="9F2CDD98" w:tentative="1">
      <w:start w:val="1"/>
      <w:numFmt w:val="decimal"/>
      <w:lvlText w:val="(%3)"/>
      <w:lvlJc w:val="left"/>
      <w:pPr>
        <w:tabs>
          <w:tab w:val="num" w:pos="1800"/>
        </w:tabs>
        <w:ind w:left="1800" w:hanging="360"/>
      </w:pPr>
    </w:lvl>
    <w:lvl w:ilvl="3" w:tplc="AA588CFE" w:tentative="1">
      <w:start w:val="1"/>
      <w:numFmt w:val="decimal"/>
      <w:lvlText w:val="(%4)"/>
      <w:lvlJc w:val="left"/>
      <w:pPr>
        <w:tabs>
          <w:tab w:val="num" w:pos="2520"/>
        </w:tabs>
        <w:ind w:left="2520" w:hanging="360"/>
      </w:pPr>
    </w:lvl>
    <w:lvl w:ilvl="4" w:tplc="7C7E916E" w:tentative="1">
      <w:start w:val="1"/>
      <w:numFmt w:val="decimal"/>
      <w:lvlText w:val="(%5)"/>
      <w:lvlJc w:val="left"/>
      <w:pPr>
        <w:tabs>
          <w:tab w:val="num" w:pos="3240"/>
        </w:tabs>
        <w:ind w:left="3240" w:hanging="360"/>
      </w:pPr>
    </w:lvl>
    <w:lvl w:ilvl="5" w:tplc="924263A8" w:tentative="1">
      <w:start w:val="1"/>
      <w:numFmt w:val="decimal"/>
      <w:lvlText w:val="(%6)"/>
      <w:lvlJc w:val="left"/>
      <w:pPr>
        <w:tabs>
          <w:tab w:val="num" w:pos="3960"/>
        </w:tabs>
        <w:ind w:left="3960" w:hanging="360"/>
      </w:pPr>
    </w:lvl>
    <w:lvl w:ilvl="6" w:tplc="C27C878A" w:tentative="1">
      <w:start w:val="1"/>
      <w:numFmt w:val="decimal"/>
      <w:lvlText w:val="(%7)"/>
      <w:lvlJc w:val="left"/>
      <w:pPr>
        <w:tabs>
          <w:tab w:val="num" w:pos="4680"/>
        </w:tabs>
        <w:ind w:left="4680" w:hanging="360"/>
      </w:pPr>
    </w:lvl>
    <w:lvl w:ilvl="7" w:tplc="58B48602" w:tentative="1">
      <w:start w:val="1"/>
      <w:numFmt w:val="decimal"/>
      <w:lvlText w:val="(%8)"/>
      <w:lvlJc w:val="left"/>
      <w:pPr>
        <w:tabs>
          <w:tab w:val="num" w:pos="5400"/>
        </w:tabs>
        <w:ind w:left="5400" w:hanging="360"/>
      </w:pPr>
    </w:lvl>
    <w:lvl w:ilvl="8" w:tplc="649ACC98" w:tentative="1">
      <w:start w:val="1"/>
      <w:numFmt w:val="decimal"/>
      <w:lvlText w:val="(%9)"/>
      <w:lvlJc w:val="left"/>
      <w:pPr>
        <w:tabs>
          <w:tab w:val="num" w:pos="6120"/>
        </w:tabs>
        <w:ind w:left="6120" w:hanging="360"/>
      </w:pPr>
    </w:lvl>
  </w:abstractNum>
  <w:abstractNum w:abstractNumId="24">
    <w:nsid w:val="43D17A35"/>
    <w:multiLevelType w:val="hybridMultilevel"/>
    <w:tmpl w:val="93FA5F9A"/>
    <w:lvl w:ilvl="0" w:tplc="251E69CE">
      <w:start w:val="4"/>
      <w:numFmt w:val="decimal"/>
      <w:lvlText w:val="(%1)"/>
      <w:lvlJc w:val="left"/>
      <w:pPr>
        <w:tabs>
          <w:tab w:val="num" w:pos="360"/>
        </w:tabs>
        <w:ind w:left="360" w:hanging="360"/>
      </w:pPr>
      <w:rPr>
        <w:rFonts w:hint="default"/>
      </w:rPr>
    </w:lvl>
    <w:lvl w:ilvl="1" w:tplc="095A1688" w:tentative="1">
      <w:start w:val="1"/>
      <w:numFmt w:val="decimal"/>
      <w:lvlText w:val="(%2)"/>
      <w:lvlJc w:val="left"/>
      <w:pPr>
        <w:tabs>
          <w:tab w:val="num" w:pos="1080"/>
        </w:tabs>
        <w:ind w:left="1080" w:hanging="360"/>
      </w:pPr>
    </w:lvl>
    <w:lvl w:ilvl="2" w:tplc="E504611C" w:tentative="1">
      <w:start w:val="1"/>
      <w:numFmt w:val="decimal"/>
      <w:lvlText w:val="(%3)"/>
      <w:lvlJc w:val="left"/>
      <w:pPr>
        <w:tabs>
          <w:tab w:val="num" w:pos="1800"/>
        </w:tabs>
        <w:ind w:left="1800" w:hanging="360"/>
      </w:pPr>
    </w:lvl>
    <w:lvl w:ilvl="3" w:tplc="FA88D288" w:tentative="1">
      <w:start w:val="1"/>
      <w:numFmt w:val="decimal"/>
      <w:lvlText w:val="(%4)"/>
      <w:lvlJc w:val="left"/>
      <w:pPr>
        <w:tabs>
          <w:tab w:val="num" w:pos="2520"/>
        </w:tabs>
        <w:ind w:left="2520" w:hanging="360"/>
      </w:pPr>
    </w:lvl>
    <w:lvl w:ilvl="4" w:tplc="3E989D4E" w:tentative="1">
      <w:start w:val="1"/>
      <w:numFmt w:val="decimal"/>
      <w:lvlText w:val="(%5)"/>
      <w:lvlJc w:val="left"/>
      <w:pPr>
        <w:tabs>
          <w:tab w:val="num" w:pos="3240"/>
        </w:tabs>
        <w:ind w:left="3240" w:hanging="360"/>
      </w:pPr>
    </w:lvl>
    <w:lvl w:ilvl="5" w:tplc="52B686FA" w:tentative="1">
      <w:start w:val="1"/>
      <w:numFmt w:val="decimal"/>
      <w:lvlText w:val="(%6)"/>
      <w:lvlJc w:val="left"/>
      <w:pPr>
        <w:tabs>
          <w:tab w:val="num" w:pos="3960"/>
        </w:tabs>
        <w:ind w:left="3960" w:hanging="360"/>
      </w:pPr>
    </w:lvl>
    <w:lvl w:ilvl="6" w:tplc="B5B6BD5A" w:tentative="1">
      <w:start w:val="1"/>
      <w:numFmt w:val="decimal"/>
      <w:lvlText w:val="(%7)"/>
      <w:lvlJc w:val="left"/>
      <w:pPr>
        <w:tabs>
          <w:tab w:val="num" w:pos="4680"/>
        </w:tabs>
        <w:ind w:left="4680" w:hanging="360"/>
      </w:pPr>
    </w:lvl>
    <w:lvl w:ilvl="7" w:tplc="A3D01100" w:tentative="1">
      <w:start w:val="1"/>
      <w:numFmt w:val="decimal"/>
      <w:lvlText w:val="(%8)"/>
      <w:lvlJc w:val="left"/>
      <w:pPr>
        <w:tabs>
          <w:tab w:val="num" w:pos="5400"/>
        </w:tabs>
        <w:ind w:left="5400" w:hanging="360"/>
      </w:pPr>
    </w:lvl>
    <w:lvl w:ilvl="8" w:tplc="842AADFC" w:tentative="1">
      <w:start w:val="1"/>
      <w:numFmt w:val="decimal"/>
      <w:lvlText w:val="(%9)"/>
      <w:lvlJc w:val="left"/>
      <w:pPr>
        <w:tabs>
          <w:tab w:val="num" w:pos="6120"/>
        </w:tabs>
        <w:ind w:left="6120" w:hanging="360"/>
      </w:pPr>
    </w:lvl>
  </w:abstractNum>
  <w:abstractNum w:abstractNumId="25">
    <w:nsid w:val="461F5A54"/>
    <w:multiLevelType w:val="multilevel"/>
    <w:tmpl w:val="21F28E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281495"/>
    <w:multiLevelType w:val="multilevel"/>
    <w:tmpl w:val="DDD6D696"/>
    <w:lvl w:ilvl="0">
      <w:start w:val="1"/>
      <w:numFmt w:val="decimal"/>
      <w:lvlText w:val="(%1)"/>
      <w:lvlJc w:val="left"/>
      <w:pPr>
        <w:tabs>
          <w:tab w:val="num" w:pos="1800"/>
        </w:tabs>
        <w:ind w:left="1800" w:hanging="360"/>
      </w:pPr>
      <w:rPr>
        <w:rFonts w:hint="default"/>
      </w:rPr>
    </w:lvl>
    <w:lvl w:ilvl="1">
      <w:start w:val="1"/>
      <w:numFmt w:val="decimal"/>
      <w:lvlText w:val="(%2)"/>
      <w:lvlJc w:val="left"/>
      <w:pPr>
        <w:tabs>
          <w:tab w:val="num" w:pos="2520"/>
        </w:tabs>
        <w:ind w:left="2520" w:hanging="360"/>
      </w:pPr>
      <w:rPr>
        <w:rFonts w:hint="default"/>
      </w:rPr>
    </w:lvl>
    <w:lvl w:ilvl="2">
      <w:start w:val="1"/>
      <w:numFmt w:val="decimal"/>
      <w:lvlText w:val="(%3)"/>
      <w:lvlJc w:val="left"/>
      <w:pPr>
        <w:tabs>
          <w:tab w:val="num" w:pos="3240"/>
        </w:tabs>
        <w:ind w:left="3240" w:hanging="360"/>
      </w:pPr>
      <w:rPr>
        <w:rFonts w:hint="default"/>
      </w:rPr>
    </w:lvl>
    <w:lvl w:ilvl="3">
      <w:start w:val="1"/>
      <w:numFmt w:val="decimal"/>
      <w:lvlText w:val="(%4)"/>
      <w:lvlJc w:val="left"/>
      <w:pPr>
        <w:tabs>
          <w:tab w:val="num" w:pos="3960"/>
        </w:tabs>
        <w:ind w:left="3960" w:hanging="360"/>
      </w:pPr>
      <w:rPr>
        <w:rFonts w:hint="default"/>
      </w:rPr>
    </w:lvl>
    <w:lvl w:ilvl="4">
      <w:start w:val="1"/>
      <w:numFmt w:val="decimal"/>
      <w:lvlText w:val="(%5)"/>
      <w:lvlJc w:val="left"/>
      <w:pPr>
        <w:tabs>
          <w:tab w:val="num" w:pos="4680"/>
        </w:tabs>
        <w:ind w:left="4680" w:hanging="360"/>
      </w:pPr>
      <w:rPr>
        <w:rFonts w:hint="default"/>
      </w:rPr>
    </w:lvl>
    <w:lvl w:ilvl="5">
      <w:start w:val="1"/>
      <w:numFmt w:val="decimal"/>
      <w:lvlText w:val="(%6)"/>
      <w:lvlJc w:val="left"/>
      <w:pPr>
        <w:tabs>
          <w:tab w:val="num" w:pos="5400"/>
        </w:tabs>
        <w:ind w:left="5400" w:hanging="360"/>
      </w:pPr>
      <w:rPr>
        <w:rFonts w:hint="default"/>
      </w:rPr>
    </w:lvl>
    <w:lvl w:ilvl="6">
      <w:start w:val="1"/>
      <w:numFmt w:val="decimal"/>
      <w:lvlText w:val="(%7)"/>
      <w:lvlJc w:val="left"/>
      <w:pPr>
        <w:tabs>
          <w:tab w:val="num" w:pos="6120"/>
        </w:tabs>
        <w:ind w:left="6120" w:hanging="360"/>
      </w:pPr>
      <w:rPr>
        <w:rFonts w:hint="default"/>
      </w:rPr>
    </w:lvl>
    <w:lvl w:ilvl="7">
      <w:start w:val="1"/>
      <w:numFmt w:val="decimal"/>
      <w:lvlText w:val="(%8)"/>
      <w:lvlJc w:val="left"/>
      <w:pPr>
        <w:tabs>
          <w:tab w:val="num" w:pos="6840"/>
        </w:tabs>
        <w:ind w:left="6840" w:hanging="360"/>
      </w:pPr>
      <w:rPr>
        <w:rFonts w:hint="default"/>
      </w:rPr>
    </w:lvl>
    <w:lvl w:ilvl="8">
      <w:start w:val="1"/>
      <w:numFmt w:val="decimal"/>
      <w:lvlText w:val="(%9)"/>
      <w:lvlJc w:val="left"/>
      <w:pPr>
        <w:tabs>
          <w:tab w:val="num" w:pos="7560"/>
        </w:tabs>
        <w:ind w:left="7560" w:hanging="360"/>
      </w:pPr>
      <w:rPr>
        <w:rFonts w:hint="default"/>
      </w:rPr>
    </w:lvl>
  </w:abstractNum>
  <w:abstractNum w:abstractNumId="27">
    <w:nsid w:val="492F53F2"/>
    <w:multiLevelType w:val="multilevel"/>
    <w:tmpl w:val="81C250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A84736F"/>
    <w:multiLevelType w:val="hybridMultilevel"/>
    <w:tmpl w:val="7A7423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3245610"/>
    <w:multiLevelType w:val="hybridMultilevel"/>
    <w:tmpl w:val="63729C58"/>
    <w:lvl w:ilvl="0" w:tplc="7D106F5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55CF2F8B"/>
    <w:multiLevelType w:val="hybridMultilevel"/>
    <w:tmpl w:val="5E488C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12F140A"/>
    <w:multiLevelType w:val="hybridMultilevel"/>
    <w:tmpl w:val="E55486C2"/>
    <w:lvl w:ilvl="0" w:tplc="640ED6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46C3F5E"/>
    <w:multiLevelType w:val="hybridMultilevel"/>
    <w:tmpl w:val="72DE1D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658D27B7"/>
    <w:multiLevelType w:val="multilevel"/>
    <w:tmpl w:val="AF4CAD2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color w:val="auto"/>
      </w:rPr>
    </w:lvl>
    <w:lvl w:ilvl="2">
      <w:start w:val="1"/>
      <w:numFmt w:val="decimal"/>
      <w:lvlText w:val="%1.%2.%3."/>
      <w:lvlJc w:val="left"/>
      <w:pPr>
        <w:ind w:left="1224" w:hanging="504"/>
      </w:pPr>
      <w:rPr>
        <w:rFonts w:hint="default"/>
      </w:rPr>
    </w:lvl>
    <w:lvl w:ilvl="3">
      <w:numFmt w:val="bullet"/>
      <w:lvlText w:val="-"/>
      <w:lvlJc w:val="left"/>
      <w:pPr>
        <w:ind w:left="1728" w:hanging="648"/>
      </w:pPr>
      <w:rPr>
        <w:rFonts w:ascii="Calibri" w:eastAsiaTheme="minorHAnsi" w:hAnsi="Calibri" w:cs="Calibri"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87355E5"/>
    <w:multiLevelType w:val="hybridMultilevel"/>
    <w:tmpl w:val="E5B86A12"/>
    <w:lvl w:ilvl="0" w:tplc="0F02091C">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B696E41"/>
    <w:multiLevelType w:val="hybridMultilevel"/>
    <w:tmpl w:val="22849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E5A3783"/>
    <w:multiLevelType w:val="hybridMultilevel"/>
    <w:tmpl w:val="C7B4E87A"/>
    <w:lvl w:ilvl="0" w:tplc="8A4E69EA">
      <w:start w:val="1"/>
      <w:numFmt w:val="decimal"/>
      <w:lvlText w:val="Scenario %1 -"/>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nsid w:val="6ED66378"/>
    <w:multiLevelType w:val="hybridMultilevel"/>
    <w:tmpl w:val="39528AB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FE20266"/>
    <w:multiLevelType w:val="hybridMultilevel"/>
    <w:tmpl w:val="8722B2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nsid w:val="785474EF"/>
    <w:multiLevelType w:val="hybridMultilevel"/>
    <w:tmpl w:val="ABC2D12A"/>
    <w:lvl w:ilvl="0" w:tplc="60A2A32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89B11D1"/>
    <w:multiLevelType w:val="hybridMultilevel"/>
    <w:tmpl w:val="45E25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21"/>
  </w:num>
  <w:num w:numId="4">
    <w:abstractNumId w:val="33"/>
  </w:num>
  <w:num w:numId="5">
    <w:abstractNumId w:val="3"/>
  </w:num>
  <w:num w:numId="6">
    <w:abstractNumId w:val="23"/>
  </w:num>
  <w:num w:numId="7">
    <w:abstractNumId w:val="5"/>
  </w:num>
  <w:num w:numId="8">
    <w:abstractNumId w:val="24"/>
  </w:num>
  <w:num w:numId="9">
    <w:abstractNumId w:val="26"/>
  </w:num>
  <w:num w:numId="10">
    <w:abstractNumId w:val="12"/>
  </w:num>
  <w:num w:numId="11">
    <w:abstractNumId w:val="32"/>
  </w:num>
  <w:num w:numId="12">
    <w:abstractNumId w:val="40"/>
  </w:num>
  <w:num w:numId="13">
    <w:abstractNumId w:val="39"/>
  </w:num>
  <w:num w:numId="14">
    <w:abstractNumId w:val="27"/>
  </w:num>
  <w:num w:numId="15">
    <w:abstractNumId w:val="25"/>
  </w:num>
  <w:num w:numId="16">
    <w:abstractNumId w:val="0"/>
  </w:num>
  <w:num w:numId="17">
    <w:abstractNumId w:val="36"/>
  </w:num>
  <w:num w:numId="18">
    <w:abstractNumId w:val="30"/>
  </w:num>
  <w:num w:numId="19">
    <w:abstractNumId w:val="7"/>
  </w:num>
  <w:num w:numId="20">
    <w:abstractNumId w:val="6"/>
  </w:num>
  <w:num w:numId="21">
    <w:abstractNumId w:val="8"/>
  </w:num>
  <w:num w:numId="22">
    <w:abstractNumId w:val="17"/>
  </w:num>
  <w:num w:numId="23">
    <w:abstractNumId w:val="38"/>
  </w:num>
  <w:num w:numId="24">
    <w:abstractNumId w:val="2"/>
  </w:num>
  <w:num w:numId="25">
    <w:abstractNumId w:val="34"/>
  </w:num>
  <w:num w:numId="26">
    <w:abstractNumId w:val="29"/>
  </w:num>
  <w:num w:numId="27">
    <w:abstractNumId w:val="9"/>
  </w:num>
  <w:num w:numId="28">
    <w:abstractNumId w:val="4"/>
  </w:num>
  <w:num w:numId="29">
    <w:abstractNumId w:val="11"/>
  </w:num>
  <w:num w:numId="30">
    <w:abstractNumId w:val="35"/>
  </w:num>
  <w:num w:numId="31">
    <w:abstractNumId w:val="14"/>
  </w:num>
  <w:num w:numId="32">
    <w:abstractNumId w:val="15"/>
  </w:num>
  <w:num w:numId="33">
    <w:abstractNumId w:val="16"/>
  </w:num>
  <w:num w:numId="34">
    <w:abstractNumId w:val="13"/>
  </w:num>
  <w:num w:numId="35">
    <w:abstractNumId w:val="19"/>
  </w:num>
  <w:num w:numId="36">
    <w:abstractNumId w:val="18"/>
  </w:num>
  <w:num w:numId="37">
    <w:abstractNumId w:val="37"/>
  </w:num>
  <w:num w:numId="38">
    <w:abstractNumId w:val="20"/>
  </w:num>
  <w:num w:numId="39">
    <w:abstractNumId w:val="1"/>
  </w:num>
  <w:num w:numId="40">
    <w:abstractNumId w:val="31"/>
  </w:num>
  <w:num w:numId="41">
    <w:abstractNumId w:val="2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6E8"/>
    <w:rsid w:val="0000381A"/>
    <w:rsid w:val="00010299"/>
    <w:rsid w:val="00011751"/>
    <w:rsid w:val="00012AE6"/>
    <w:rsid w:val="00013F64"/>
    <w:rsid w:val="000150C4"/>
    <w:rsid w:val="00021299"/>
    <w:rsid w:val="000225C5"/>
    <w:rsid w:val="00025930"/>
    <w:rsid w:val="00030BFC"/>
    <w:rsid w:val="000325C7"/>
    <w:rsid w:val="00033D6B"/>
    <w:rsid w:val="000437BF"/>
    <w:rsid w:val="00047260"/>
    <w:rsid w:val="00054DFC"/>
    <w:rsid w:val="00054FD9"/>
    <w:rsid w:val="0005532F"/>
    <w:rsid w:val="000638B8"/>
    <w:rsid w:val="00064E5F"/>
    <w:rsid w:val="00070CA4"/>
    <w:rsid w:val="00073E8B"/>
    <w:rsid w:val="00075BBD"/>
    <w:rsid w:val="00076997"/>
    <w:rsid w:val="0007776B"/>
    <w:rsid w:val="00083D29"/>
    <w:rsid w:val="00083F25"/>
    <w:rsid w:val="0008468F"/>
    <w:rsid w:val="00084D95"/>
    <w:rsid w:val="00085AE2"/>
    <w:rsid w:val="00092B0A"/>
    <w:rsid w:val="000A0804"/>
    <w:rsid w:val="000A1E4C"/>
    <w:rsid w:val="000A2A4B"/>
    <w:rsid w:val="000A6456"/>
    <w:rsid w:val="000A6C21"/>
    <w:rsid w:val="000A7DAE"/>
    <w:rsid w:val="000B1042"/>
    <w:rsid w:val="000B4631"/>
    <w:rsid w:val="000B557B"/>
    <w:rsid w:val="000B5F2C"/>
    <w:rsid w:val="000C0FA0"/>
    <w:rsid w:val="000C19F2"/>
    <w:rsid w:val="000C1A5F"/>
    <w:rsid w:val="000C2045"/>
    <w:rsid w:val="000C3A0C"/>
    <w:rsid w:val="000D0EF9"/>
    <w:rsid w:val="000D1641"/>
    <w:rsid w:val="000D4F5A"/>
    <w:rsid w:val="000E05A1"/>
    <w:rsid w:val="000E2DF4"/>
    <w:rsid w:val="000E51C2"/>
    <w:rsid w:val="000F64A0"/>
    <w:rsid w:val="000F6ADF"/>
    <w:rsid w:val="000F6FA9"/>
    <w:rsid w:val="0010119E"/>
    <w:rsid w:val="00101688"/>
    <w:rsid w:val="00101B32"/>
    <w:rsid w:val="00104DC7"/>
    <w:rsid w:val="00104E12"/>
    <w:rsid w:val="00110B4D"/>
    <w:rsid w:val="00111A77"/>
    <w:rsid w:val="00112015"/>
    <w:rsid w:val="00122A5D"/>
    <w:rsid w:val="00125DF7"/>
    <w:rsid w:val="00131DE4"/>
    <w:rsid w:val="0013263B"/>
    <w:rsid w:val="00132FCA"/>
    <w:rsid w:val="00135403"/>
    <w:rsid w:val="00140976"/>
    <w:rsid w:val="00142C3D"/>
    <w:rsid w:val="001432E3"/>
    <w:rsid w:val="00150529"/>
    <w:rsid w:val="0015097C"/>
    <w:rsid w:val="00155A98"/>
    <w:rsid w:val="00157F2B"/>
    <w:rsid w:val="00162155"/>
    <w:rsid w:val="00162C80"/>
    <w:rsid w:val="00164232"/>
    <w:rsid w:val="00164CAC"/>
    <w:rsid w:val="00166B24"/>
    <w:rsid w:val="00167E73"/>
    <w:rsid w:val="001735FD"/>
    <w:rsid w:val="0017549C"/>
    <w:rsid w:val="001764A9"/>
    <w:rsid w:val="0018038A"/>
    <w:rsid w:val="001820B0"/>
    <w:rsid w:val="00184C48"/>
    <w:rsid w:val="001854DF"/>
    <w:rsid w:val="0019066F"/>
    <w:rsid w:val="0019531D"/>
    <w:rsid w:val="0019674E"/>
    <w:rsid w:val="0019725F"/>
    <w:rsid w:val="001A17AC"/>
    <w:rsid w:val="001A1F30"/>
    <w:rsid w:val="001A35F9"/>
    <w:rsid w:val="001A52F0"/>
    <w:rsid w:val="001A68FD"/>
    <w:rsid w:val="001A7721"/>
    <w:rsid w:val="001A7A9A"/>
    <w:rsid w:val="001B001D"/>
    <w:rsid w:val="001B3606"/>
    <w:rsid w:val="001B593F"/>
    <w:rsid w:val="001C107F"/>
    <w:rsid w:val="001C17CB"/>
    <w:rsid w:val="001C2A6B"/>
    <w:rsid w:val="001D1093"/>
    <w:rsid w:val="001D236E"/>
    <w:rsid w:val="001E0AF8"/>
    <w:rsid w:val="001E4CD1"/>
    <w:rsid w:val="001E535D"/>
    <w:rsid w:val="001E6F69"/>
    <w:rsid w:val="001F3377"/>
    <w:rsid w:val="001F4965"/>
    <w:rsid w:val="001F75E2"/>
    <w:rsid w:val="00203463"/>
    <w:rsid w:val="0020522E"/>
    <w:rsid w:val="00205401"/>
    <w:rsid w:val="00205D21"/>
    <w:rsid w:val="00206749"/>
    <w:rsid w:val="00206A5E"/>
    <w:rsid w:val="002078C5"/>
    <w:rsid w:val="0021039D"/>
    <w:rsid w:val="0021355D"/>
    <w:rsid w:val="00214CBF"/>
    <w:rsid w:val="00216C44"/>
    <w:rsid w:val="002201E3"/>
    <w:rsid w:val="002208FD"/>
    <w:rsid w:val="00232BAF"/>
    <w:rsid w:val="00235FF4"/>
    <w:rsid w:val="00240731"/>
    <w:rsid w:val="00244703"/>
    <w:rsid w:val="00246EE6"/>
    <w:rsid w:val="002477C2"/>
    <w:rsid w:val="0025082F"/>
    <w:rsid w:val="00255327"/>
    <w:rsid w:val="00261847"/>
    <w:rsid w:val="002634A0"/>
    <w:rsid w:val="00276971"/>
    <w:rsid w:val="002800A3"/>
    <w:rsid w:val="0028189D"/>
    <w:rsid w:val="00281A41"/>
    <w:rsid w:val="00286B58"/>
    <w:rsid w:val="00292C51"/>
    <w:rsid w:val="0029408D"/>
    <w:rsid w:val="002A180E"/>
    <w:rsid w:val="002A2284"/>
    <w:rsid w:val="002A5F3A"/>
    <w:rsid w:val="002A72AE"/>
    <w:rsid w:val="002A782A"/>
    <w:rsid w:val="002A7EB8"/>
    <w:rsid w:val="002B058B"/>
    <w:rsid w:val="002B2E6C"/>
    <w:rsid w:val="002D130C"/>
    <w:rsid w:val="002D3C56"/>
    <w:rsid w:val="002D74CD"/>
    <w:rsid w:val="002E6B92"/>
    <w:rsid w:val="002E7615"/>
    <w:rsid w:val="002F3ACC"/>
    <w:rsid w:val="002F42D0"/>
    <w:rsid w:val="002F44D3"/>
    <w:rsid w:val="002F51B6"/>
    <w:rsid w:val="002F62C3"/>
    <w:rsid w:val="00306BE8"/>
    <w:rsid w:val="00307D25"/>
    <w:rsid w:val="0031532C"/>
    <w:rsid w:val="003170CF"/>
    <w:rsid w:val="003170E0"/>
    <w:rsid w:val="0032531E"/>
    <w:rsid w:val="00326448"/>
    <w:rsid w:val="003266ED"/>
    <w:rsid w:val="003270C7"/>
    <w:rsid w:val="00331A20"/>
    <w:rsid w:val="00332D34"/>
    <w:rsid w:val="00335515"/>
    <w:rsid w:val="0034110F"/>
    <w:rsid w:val="003414A6"/>
    <w:rsid w:val="00343386"/>
    <w:rsid w:val="003460F0"/>
    <w:rsid w:val="00347FA6"/>
    <w:rsid w:val="00352E13"/>
    <w:rsid w:val="00353D68"/>
    <w:rsid w:val="00361FCB"/>
    <w:rsid w:val="003631C9"/>
    <w:rsid w:val="003744D5"/>
    <w:rsid w:val="00374930"/>
    <w:rsid w:val="00374A05"/>
    <w:rsid w:val="00375975"/>
    <w:rsid w:val="00377818"/>
    <w:rsid w:val="00383BF3"/>
    <w:rsid w:val="00383F36"/>
    <w:rsid w:val="0038665F"/>
    <w:rsid w:val="003907D6"/>
    <w:rsid w:val="00391974"/>
    <w:rsid w:val="00391B55"/>
    <w:rsid w:val="00393F19"/>
    <w:rsid w:val="00394553"/>
    <w:rsid w:val="0039540A"/>
    <w:rsid w:val="00396811"/>
    <w:rsid w:val="003A2B19"/>
    <w:rsid w:val="003B6A9E"/>
    <w:rsid w:val="003B7763"/>
    <w:rsid w:val="003C077B"/>
    <w:rsid w:val="003C11FF"/>
    <w:rsid w:val="003C1F1D"/>
    <w:rsid w:val="003C406D"/>
    <w:rsid w:val="003C637D"/>
    <w:rsid w:val="003C7ECE"/>
    <w:rsid w:val="003D07CC"/>
    <w:rsid w:val="003D206D"/>
    <w:rsid w:val="003D2721"/>
    <w:rsid w:val="003D50FA"/>
    <w:rsid w:val="003D567E"/>
    <w:rsid w:val="003D5B04"/>
    <w:rsid w:val="003E1267"/>
    <w:rsid w:val="003E2108"/>
    <w:rsid w:val="003E349B"/>
    <w:rsid w:val="003E4277"/>
    <w:rsid w:val="003E6DA6"/>
    <w:rsid w:val="003F1444"/>
    <w:rsid w:val="00400576"/>
    <w:rsid w:val="00402D12"/>
    <w:rsid w:val="004031AC"/>
    <w:rsid w:val="00404C59"/>
    <w:rsid w:val="00410938"/>
    <w:rsid w:val="00413005"/>
    <w:rsid w:val="00414500"/>
    <w:rsid w:val="00420B91"/>
    <w:rsid w:val="00421785"/>
    <w:rsid w:val="00425C72"/>
    <w:rsid w:val="00426AA0"/>
    <w:rsid w:val="00434196"/>
    <w:rsid w:val="00434A65"/>
    <w:rsid w:val="004376DF"/>
    <w:rsid w:val="004376EC"/>
    <w:rsid w:val="00440ABA"/>
    <w:rsid w:val="00443E5C"/>
    <w:rsid w:val="004466F6"/>
    <w:rsid w:val="0045159E"/>
    <w:rsid w:val="004564AC"/>
    <w:rsid w:val="00460937"/>
    <w:rsid w:val="00460F54"/>
    <w:rsid w:val="00463128"/>
    <w:rsid w:val="0047560A"/>
    <w:rsid w:val="00482E81"/>
    <w:rsid w:val="00484618"/>
    <w:rsid w:val="00486309"/>
    <w:rsid w:val="00490FD5"/>
    <w:rsid w:val="004917A5"/>
    <w:rsid w:val="00491B7F"/>
    <w:rsid w:val="00491EE1"/>
    <w:rsid w:val="0049311A"/>
    <w:rsid w:val="004968D6"/>
    <w:rsid w:val="0049798F"/>
    <w:rsid w:val="00497DCA"/>
    <w:rsid w:val="004A0192"/>
    <w:rsid w:val="004A3051"/>
    <w:rsid w:val="004A4767"/>
    <w:rsid w:val="004A76E8"/>
    <w:rsid w:val="004B1D37"/>
    <w:rsid w:val="004B30C4"/>
    <w:rsid w:val="004B4FAB"/>
    <w:rsid w:val="004B5584"/>
    <w:rsid w:val="004B7611"/>
    <w:rsid w:val="004C0F18"/>
    <w:rsid w:val="004C304C"/>
    <w:rsid w:val="004C51BE"/>
    <w:rsid w:val="004C5A78"/>
    <w:rsid w:val="004C6B2F"/>
    <w:rsid w:val="004D01CC"/>
    <w:rsid w:val="004D3DAE"/>
    <w:rsid w:val="004D3F95"/>
    <w:rsid w:val="004D5799"/>
    <w:rsid w:val="004D65DD"/>
    <w:rsid w:val="004E41C3"/>
    <w:rsid w:val="004E4AC0"/>
    <w:rsid w:val="004E610E"/>
    <w:rsid w:val="004F3DDD"/>
    <w:rsid w:val="004F478D"/>
    <w:rsid w:val="004F580E"/>
    <w:rsid w:val="004F5E7A"/>
    <w:rsid w:val="0050158A"/>
    <w:rsid w:val="00501747"/>
    <w:rsid w:val="005017C8"/>
    <w:rsid w:val="00501BA6"/>
    <w:rsid w:val="00503B04"/>
    <w:rsid w:val="00510360"/>
    <w:rsid w:val="00510784"/>
    <w:rsid w:val="00514A92"/>
    <w:rsid w:val="00515280"/>
    <w:rsid w:val="005202C8"/>
    <w:rsid w:val="005206E2"/>
    <w:rsid w:val="00522B58"/>
    <w:rsid w:val="00524B2D"/>
    <w:rsid w:val="00527659"/>
    <w:rsid w:val="0053153D"/>
    <w:rsid w:val="0053182B"/>
    <w:rsid w:val="0053199C"/>
    <w:rsid w:val="005336DA"/>
    <w:rsid w:val="00534962"/>
    <w:rsid w:val="00544B5B"/>
    <w:rsid w:val="00545B28"/>
    <w:rsid w:val="005478A1"/>
    <w:rsid w:val="005523A3"/>
    <w:rsid w:val="0055377B"/>
    <w:rsid w:val="00553B4A"/>
    <w:rsid w:val="00554D1D"/>
    <w:rsid w:val="005578BC"/>
    <w:rsid w:val="00560C25"/>
    <w:rsid w:val="00561563"/>
    <w:rsid w:val="005679CD"/>
    <w:rsid w:val="00572ABE"/>
    <w:rsid w:val="00574B34"/>
    <w:rsid w:val="00576BC5"/>
    <w:rsid w:val="005870A4"/>
    <w:rsid w:val="00590EC2"/>
    <w:rsid w:val="005A0ACF"/>
    <w:rsid w:val="005A0FE4"/>
    <w:rsid w:val="005A4AC9"/>
    <w:rsid w:val="005A6248"/>
    <w:rsid w:val="005B1815"/>
    <w:rsid w:val="005B1B4F"/>
    <w:rsid w:val="005B307A"/>
    <w:rsid w:val="005B37C6"/>
    <w:rsid w:val="005B37E3"/>
    <w:rsid w:val="005C01F6"/>
    <w:rsid w:val="005C1149"/>
    <w:rsid w:val="005C7671"/>
    <w:rsid w:val="005C7AFB"/>
    <w:rsid w:val="005D0402"/>
    <w:rsid w:val="005D4D09"/>
    <w:rsid w:val="005D52C8"/>
    <w:rsid w:val="005D5F22"/>
    <w:rsid w:val="005E5BF9"/>
    <w:rsid w:val="005E6AD2"/>
    <w:rsid w:val="005E7AC6"/>
    <w:rsid w:val="005F1B56"/>
    <w:rsid w:val="005F1D2C"/>
    <w:rsid w:val="005F524E"/>
    <w:rsid w:val="005F6D61"/>
    <w:rsid w:val="00600414"/>
    <w:rsid w:val="006018F3"/>
    <w:rsid w:val="00604939"/>
    <w:rsid w:val="006073C1"/>
    <w:rsid w:val="0061228A"/>
    <w:rsid w:val="00612CE0"/>
    <w:rsid w:val="00615048"/>
    <w:rsid w:val="0061664A"/>
    <w:rsid w:val="006179CD"/>
    <w:rsid w:val="00622268"/>
    <w:rsid w:val="0062396E"/>
    <w:rsid w:val="00632D50"/>
    <w:rsid w:val="00632F71"/>
    <w:rsid w:val="00635A30"/>
    <w:rsid w:val="00637027"/>
    <w:rsid w:val="006371DD"/>
    <w:rsid w:val="00643DA3"/>
    <w:rsid w:val="00647669"/>
    <w:rsid w:val="006541F8"/>
    <w:rsid w:val="00660437"/>
    <w:rsid w:val="00660E6D"/>
    <w:rsid w:val="0066148C"/>
    <w:rsid w:val="0066270A"/>
    <w:rsid w:val="00674B01"/>
    <w:rsid w:val="006757B1"/>
    <w:rsid w:val="00675E5C"/>
    <w:rsid w:val="00675FDB"/>
    <w:rsid w:val="00676AD2"/>
    <w:rsid w:val="00684B2D"/>
    <w:rsid w:val="00686F4A"/>
    <w:rsid w:val="00691A43"/>
    <w:rsid w:val="00692DAE"/>
    <w:rsid w:val="00693D70"/>
    <w:rsid w:val="00695939"/>
    <w:rsid w:val="00697E5C"/>
    <w:rsid w:val="006A59CE"/>
    <w:rsid w:val="006A6BE8"/>
    <w:rsid w:val="006B304E"/>
    <w:rsid w:val="006B666B"/>
    <w:rsid w:val="006B6DFD"/>
    <w:rsid w:val="006B7200"/>
    <w:rsid w:val="006C0B22"/>
    <w:rsid w:val="006C108C"/>
    <w:rsid w:val="006C264E"/>
    <w:rsid w:val="006C37F5"/>
    <w:rsid w:val="006C4DD3"/>
    <w:rsid w:val="006C4EC4"/>
    <w:rsid w:val="006C59DF"/>
    <w:rsid w:val="006C6CB4"/>
    <w:rsid w:val="006D1B05"/>
    <w:rsid w:val="006D37DA"/>
    <w:rsid w:val="006D387F"/>
    <w:rsid w:val="006E2ABB"/>
    <w:rsid w:val="006E5ED5"/>
    <w:rsid w:val="006E685A"/>
    <w:rsid w:val="006F7175"/>
    <w:rsid w:val="00701E12"/>
    <w:rsid w:val="00701F99"/>
    <w:rsid w:val="0070334C"/>
    <w:rsid w:val="00705D15"/>
    <w:rsid w:val="0070603A"/>
    <w:rsid w:val="00706192"/>
    <w:rsid w:val="007114AD"/>
    <w:rsid w:val="00711933"/>
    <w:rsid w:val="0071507B"/>
    <w:rsid w:val="0071783F"/>
    <w:rsid w:val="007178D7"/>
    <w:rsid w:val="007203D6"/>
    <w:rsid w:val="00721C1A"/>
    <w:rsid w:val="007233EB"/>
    <w:rsid w:val="007322FB"/>
    <w:rsid w:val="00733076"/>
    <w:rsid w:val="007364BB"/>
    <w:rsid w:val="0074109F"/>
    <w:rsid w:val="00743543"/>
    <w:rsid w:val="00745068"/>
    <w:rsid w:val="00746027"/>
    <w:rsid w:val="0075126B"/>
    <w:rsid w:val="0075304B"/>
    <w:rsid w:val="007540E8"/>
    <w:rsid w:val="00756078"/>
    <w:rsid w:val="007570C9"/>
    <w:rsid w:val="00761793"/>
    <w:rsid w:val="007617AF"/>
    <w:rsid w:val="0076458B"/>
    <w:rsid w:val="007673CC"/>
    <w:rsid w:val="00767B9B"/>
    <w:rsid w:val="00777D10"/>
    <w:rsid w:val="00780D5E"/>
    <w:rsid w:val="00782352"/>
    <w:rsid w:val="00784F03"/>
    <w:rsid w:val="007852BB"/>
    <w:rsid w:val="00787A99"/>
    <w:rsid w:val="00791DBF"/>
    <w:rsid w:val="00794697"/>
    <w:rsid w:val="007958DB"/>
    <w:rsid w:val="007A019A"/>
    <w:rsid w:val="007A7270"/>
    <w:rsid w:val="007B1055"/>
    <w:rsid w:val="007B1483"/>
    <w:rsid w:val="007B1FD8"/>
    <w:rsid w:val="007B5915"/>
    <w:rsid w:val="007B68B6"/>
    <w:rsid w:val="007B6FE7"/>
    <w:rsid w:val="007B70B4"/>
    <w:rsid w:val="007B77C2"/>
    <w:rsid w:val="007C570C"/>
    <w:rsid w:val="007C794F"/>
    <w:rsid w:val="007D0147"/>
    <w:rsid w:val="007D31CF"/>
    <w:rsid w:val="007D44AF"/>
    <w:rsid w:val="007D70CA"/>
    <w:rsid w:val="007E1DB7"/>
    <w:rsid w:val="007E2FB7"/>
    <w:rsid w:val="007E3596"/>
    <w:rsid w:val="007E423A"/>
    <w:rsid w:val="007E73B6"/>
    <w:rsid w:val="007F34AD"/>
    <w:rsid w:val="00800CA3"/>
    <w:rsid w:val="00806C61"/>
    <w:rsid w:val="0081131B"/>
    <w:rsid w:val="00811E08"/>
    <w:rsid w:val="00813D6F"/>
    <w:rsid w:val="00814643"/>
    <w:rsid w:val="00815C10"/>
    <w:rsid w:val="00816B00"/>
    <w:rsid w:val="00816EA9"/>
    <w:rsid w:val="00821DF8"/>
    <w:rsid w:val="00824D2A"/>
    <w:rsid w:val="0082691B"/>
    <w:rsid w:val="008270E0"/>
    <w:rsid w:val="008274A5"/>
    <w:rsid w:val="00831AB7"/>
    <w:rsid w:val="00836F8C"/>
    <w:rsid w:val="00840565"/>
    <w:rsid w:val="00840699"/>
    <w:rsid w:val="0084463C"/>
    <w:rsid w:val="00844C6C"/>
    <w:rsid w:val="008518C0"/>
    <w:rsid w:val="00852174"/>
    <w:rsid w:val="0085259C"/>
    <w:rsid w:val="00855362"/>
    <w:rsid w:val="0085670A"/>
    <w:rsid w:val="00857397"/>
    <w:rsid w:val="00860238"/>
    <w:rsid w:val="0086029C"/>
    <w:rsid w:val="0086108F"/>
    <w:rsid w:val="008634B0"/>
    <w:rsid w:val="0086492E"/>
    <w:rsid w:val="00877810"/>
    <w:rsid w:val="00881CC0"/>
    <w:rsid w:val="00882E55"/>
    <w:rsid w:val="0088301D"/>
    <w:rsid w:val="0088442D"/>
    <w:rsid w:val="008859F2"/>
    <w:rsid w:val="0089426A"/>
    <w:rsid w:val="008949F9"/>
    <w:rsid w:val="00895B11"/>
    <w:rsid w:val="008962AB"/>
    <w:rsid w:val="00896660"/>
    <w:rsid w:val="00896822"/>
    <w:rsid w:val="008A1243"/>
    <w:rsid w:val="008A4450"/>
    <w:rsid w:val="008A5FDA"/>
    <w:rsid w:val="008B0EAA"/>
    <w:rsid w:val="008B1AE7"/>
    <w:rsid w:val="008B6660"/>
    <w:rsid w:val="008C12AB"/>
    <w:rsid w:val="008C2E3E"/>
    <w:rsid w:val="008C3BE8"/>
    <w:rsid w:val="008C48F8"/>
    <w:rsid w:val="008C50EA"/>
    <w:rsid w:val="008C5F11"/>
    <w:rsid w:val="008C602F"/>
    <w:rsid w:val="008C6ECB"/>
    <w:rsid w:val="008C74AD"/>
    <w:rsid w:val="008C7BD4"/>
    <w:rsid w:val="008D3FEE"/>
    <w:rsid w:val="008D540C"/>
    <w:rsid w:val="008E5045"/>
    <w:rsid w:val="008E7D85"/>
    <w:rsid w:val="008F0C20"/>
    <w:rsid w:val="008F0D93"/>
    <w:rsid w:val="008F27ED"/>
    <w:rsid w:val="008F3062"/>
    <w:rsid w:val="008F490D"/>
    <w:rsid w:val="008F5E77"/>
    <w:rsid w:val="008F71CD"/>
    <w:rsid w:val="009002A3"/>
    <w:rsid w:val="009016A9"/>
    <w:rsid w:val="009017E7"/>
    <w:rsid w:val="00901B1F"/>
    <w:rsid w:val="00906C2B"/>
    <w:rsid w:val="00910365"/>
    <w:rsid w:val="00913592"/>
    <w:rsid w:val="00931710"/>
    <w:rsid w:val="009357D2"/>
    <w:rsid w:val="00943B0B"/>
    <w:rsid w:val="0094522F"/>
    <w:rsid w:val="00946BCA"/>
    <w:rsid w:val="00954254"/>
    <w:rsid w:val="0095561A"/>
    <w:rsid w:val="00956931"/>
    <w:rsid w:val="00962CCE"/>
    <w:rsid w:val="00963EBC"/>
    <w:rsid w:val="00965836"/>
    <w:rsid w:val="0096714C"/>
    <w:rsid w:val="0096738B"/>
    <w:rsid w:val="0096797F"/>
    <w:rsid w:val="00967E28"/>
    <w:rsid w:val="00973276"/>
    <w:rsid w:val="009779D9"/>
    <w:rsid w:val="00983C66"/>
    <w:rsid w:val="009850DA"/>
    <w:rsid w:val="009878B8"/>
    <w:rsid w:val="0099201A"/>
    <w:rsid w:val="009920CE"/>
    <w:rsid w:val="009950CE"/>
    <w:rsid w:val="00996077"/>
    <w:rsid w:val="009A36DD"/>
    <w:rsid w:val="009A5A89"/>
    <w:rsid w:val="009B08CE"/>
    <w:rsid w:val="009B2B63"/>
    <w:rsid w:val="009B3941"/>
    <w:rsid w:val="009B58AE"/>
    <w:rsid w:val="009B6D2F"/>
    <w:rsid w:val="009D008F"/>
    <w:rsid w:val="009D2A1D"/>
    <w:rsid w:val="009D2FEC"/>
    <w:rsid w:val="009D596F"/>
    <w:rsid w:val="009D5CD1"/>
    <w:rsid w:val="009D5E86"/>
    <w:rsid w:val="009D6605"/>
    <w:rsid w:val="009D7E08"/>
    <w:rsid w:val="009E0391"/>
    <w:rsid w:val="009E3B59"/>
    <w:rsid w:val="009E401F"/>
    <w:rsid w:val="009E55CB"/>
    <w:rsid w:val="009E7D4B"/>
    <w:rsid w:val="009E7D8B"/>
    <w:rsid w:val="009F0486"/>
    <w:rsid w:val="009F1E08"/>
    <w:rsid w:val="009F3304"/>
    <w:rsid w:val="009F457A"/>
    <w:rsid w:val="009F488A"/>
    <w:rsid w:val="009F6946"/>
    <w:rsid w:val="009F6E70"/>
    <w:rsid w:val="009F7871"/>
    <w:rsid w:val="00A01936"/>
    <w:rsid w:val="00A0391C"/>
    <w:rsid w:val="00A05B87"/>
    <w:rsid w:val="00A208A3"/>
    <w:rsid w:val="00A2393A"/>
    <w:rsid w:val="00A257CD"/>
    <w:rsid w:val="00A2796F"/>
    <w:rsid w:val="00A305F2"/>
    <w:rsid w:val="00A332FE"/>
    <w:rsid w:val="00A34AB8"/>
    <w:rsid w:val="00A35479"/>
    <w:rsid w:val="00A35B15"/>
    <w:rsid w:val="00A36390"/>
    <w:rsid w:val="00A4107F"/>
    <w:rsid w:val="00A42F0A"/>
    <w:rsid w:val="00A45B27"/>
    <w:rsid w:val="00A46613"/>
    <w:rsid w:val="00A51AFD"/>
    <w:rsid w:val="00A51DE5"/>
    <w:rsid w:val="00A52AE8"/>
    <w:rsid w:val="00A558F0"/>
    <w:rsid w:val="00A6384D"/>
    <w:rsid w:val="00A644EB"/>
    <w:rsid w:val="00A6580E"/>
    <w:rsid w:val="00A660D3"/>
    <w:rsid w:val="00A666A3"/>
    <w:rsid w:val="00A66E9C"/>
    <w:rsid w:val="00A67985"/>
    <w:rsid w:val="00A776F0"/>
    <w:rsid w:val="00A81636"/>
    <w:rsid w:val="00A83B4A"/>
    <w:rsid w:val="00A84BD5"/>
    <w:rsid w:val="00A911AB"/>
    <w:rsid w:val="00A92D7D"/>
    <w:rsid w:val="00A94470"/>
    <w:rsid w:val="00A97518"/>
    <w:rsid w:val="00AA1D30"/>
    <w:rsid w:val="00AA6311"/>
    <w:rsid w:val="00AA6890"/>
    <w:rsid w:val="00AB1084"/>
    <w:rsid w:val="00AB409C"/>
    <w:rsid w:val="00AC2975"/>
    <w:rsid w:val="00AC4441"/>
    <w:rsid w:val="00AC53B4"/>
    <w:rsid w:val="00AD31D9"/>
    <w:rsid w:val="00AD3727"/>
    <w:rsid w:val="00AD58A2"/>
    <w:rsid w:val="00AE1003"/>
    <w:rsid w:val="00AE2D54"/>
    <w:rsid w:val="00AE3111"/>
    <w:rsid w:val="00AE37F6"/>
    <w:rsid w:val="00AE44C5"/>
    <w:rsid w:val="00AE4857"/>
    <w:rsid w:val="00AE554A"/>
    <w:rsid w:val="00AE5BB1"/>
    <w:rsid w:val="00AE70F7"/>
    <w:rsid w:val="00AE7E80"/>
    <w:rsid w:val="00B0076E"/>
    <w:rsid w:val="00B0079D"/>
    <w:rsid w:val="00B05FFC"/>
    <w:rsid w:val="00B077CF"/>
    <w:rsid w:val="00B1003B"/>
    <w:rsid w:val="00B132C3"/>
    <w:rsid w:val="00B1412E"/>
    <w:rsid w:val="00B14C89"/>
    <w:rsid w:val="00B17225"/>
    <w:rsid w:val="00B1781D"/>
    <w:rsid w:val="00B2071E"/>
    <w:rsid w:val="00B236D5"/>
    <w:rsid w:val="00B244CA"/>
    <w:rsid w:val="00B30415"/>
    <w:rsid w:val="00B31D16"/>
    <w:rsid w:val="00B31EFE"/>
    <w:rsid w:val="00B332FB"/>
    <w:rsid w:val="00B34473"/>
    <w:rsid w:val="00B40CD2"/>
    <w:rsid w:val="00B42337"/>
    <w:rsid w:val="00B42406"/>
    <w:rsid w:val="00B44914"/>
    <w:rsid w:val="00B532B8"/>
    <w:rsid w:val="00B549EC"/>
    <w:rsid w:val="00B56F61"/>
    <w:rsid w:val="00B57CB8"/>
    <w:rsid w:val="00B617BC"/>
    <w:rsid w:val="00B62EC8"/>
    <w:rsid w:val="00B63027"/>
    <w:rsid w:val="00B6307E"/>
    <w:rsid w:val="00B641EA"/>
    <w:rsid w:val="00B64247"/>
    <w:rsid w:val="00B64588"/>
    <w:rsid w:val="00B66029"/>
    <w:rsid w:val="00B66187"/>
    <w:rsid w:val="00B66BA1"/>
    <w:rsid w:val="00B71711"/>
    <w:rsid w:val="00B746A8"/>
    <w:rsid w:val="00B77D37"/>
    <w:rsid w:val="00B80A38"/>
    <w:rsid w:val="00B826AD"/>
    <w:rsid w:val="00B863C6"/>
    <w:rsid w:val="00B87484"/>
    <w:rsid w:val="00B90CAE"/>
    <w:rsid w:val="00B91B7B"/>
    <w:rsid w:val="00B9378A"/>
    <w:rsid w:val="00B9570E"/>
    <w:rsid w:val="00B9581C"/>
    <w:rsid w:val="00BA0FB9"/>
    <w:rsid w:val="00BA13E4"/>
    <w:rsid w:val="00BA4929"/>
    <w:rsid w:val="00BB1ECD"/>
    <w:rsid w:val="00BB4FAA"/>
    <w:rsid w:val="00BB566A"/>
    <w:rsid w:val="00BB7971"/>
    <w:rsid w:val="00BC5444"/>
    <w:rsid w:val="00BD4634"/>
    <w:rsid w:val="00BD637B"/>
    <w:rsid w:val="00BE1062"/>
    <w:rsid w:val="00BE3E95"/>
    <w:rsid w:val="00BE5331"/>
    <w:rsid w:val="00BE616C"/>
    <w:rsid w:val="00BF1104"/>
    <w:rsid w:val="00BF7E89"/>
    <w:rsid w:val="00C00F81"/>
    <w:rsid w:val="00C01442"/>
    <w:rsid w:val="00C01B60"/>
    <w:rsid w:val="00C03F32"/>
    <w:rsid w:val="00C07B52"/>
    <w:rsid w:val="00C12B3B"/>
    <w:rsid w:val="00C12C67"/>
    <w:rsid w:val="00C139F6"/>
    <w:rsid w:val="00C151B9"/>
    <w:rsid w:val="00C24537"/>
    <w:rsid w:val="00C27FEE"/>
    <w:rsid w:val="00C32418"/>
    <w:rsid w:val="00C338E8"/>
    <w:rsid w:val="00C352A9"/>
    <w:rsid w:val="00C368FD"/>
    <w:rsid w:val="00C37EB6"/>
    <w:rsid w:val="00C4229E"/>
    <w:rsid w:val="00C42543"/>
    <w:rsid w:val="00C446F7"/>
    <w:rsid w:val="00C45186"/>
    <w:rsid w:val="00C45FF7"/>
    <w:rsid w:val="00C51D24"/>
    <w:rsid w:val="00C551AA"/>
    <w:rsid w:val="00C554E9"/>
    <w:rsid w:val="00C61099"/>
    <w:rsid w:val="00C658E1"/>
    <w:rsid w:val="00C66198"/>
    <w:rsid w:val="00C6648D"/>
    <w:rsid w:val="00C71DBB"/>
    <w:rsid w:val="00C75B32"/>
    <w:rsid w:val="00C75D9B"/>
    <w:rsid w:val="00C81704"/>
    <w:rsid w:val="00C82B09"/>
    <w:rsid w:val="00C85570"/>
    <w:rsid w:val="00C87375"/>
    <w:rsid w:val="00C91BEB"/>
    <w:rsid w:val="00C9648E"/>
    <w:rsid w:val="00C974BF"/>
    <w:rsid w:val="00CA13DD"/>
    <w:rsid w:val="00CA2DE5"/>
    <w:rsid w:val="00CA3427"/>
    <w:rsid w:val="00CA4011"/>
    <w:rsid w:val="00CB2736"/>
    <w:rsid w:val="00CB3978"/>
    <w:rsid w:val="00CB568B"/>
    <w:rsid w:val="00CB68FD"/>
    <w:rsid w:val="00CC0C67"/>
    <w:rsid w:val="00CC40DE"/>
    <w:rsid w:val="00CC5367"/>
    <w:rsid w:val="00CC7A5B"/>
    <w:rsid w:val="00CC7DFC"/>
    <w:rsid w:val="00CD64DD"/>
    <w:rsid w:val="00CD6ABA"/>
    <w:rsid w:val="00CE1DD5"/>
    <w:rsid w:val="00CE1F01"/>
    <w:rsid w:val="00CE6C0C"/>
    <w:rsid w:val="00CF0960"/>
    <w:rsid w:val="00CF159E"/>
    <w:rsid w:val="00CF21C1"/>
    <w:rsid w:val="00CF4378"/>
    <w:rsid w:val="00CF44E2"/>
    <w:rsid w:val="00CF685C"/>
    <w:rsid w:val="00D04381"/>
    <w:rsid w:val="00D11825"/>
    <w:rsid w:val="00D25A49"/>
    <w:rsid w:val="00D268F7"/>
    <w:rsid w:val="00D26EE2"/>
    <w:rsid w:val="00D30507"/>
    <w:rsid w:val="00D31C29"/>
    <w:rsid w:val="00D331B6"/>
    <w:rsid w:val="00D34856"/>
    <w:rsid w:val="00D36983"/>
    <w:rsid w:val="00D40FD3"/>
    <w:rsid w:val="00D41DEF"/>
    <w:rsid w:val="00D4276F"/>
    <w:rsid w:val="00D42E41"/>
    <w:rsid w:val="00D42F42"/>
    <w:rsid w:val="00D45CD3"/>
    <w:rsid w:val="00D46B6F"/>
    <w:rsid w:val="00D46CD0"/>
    <w:rsid w:val="00D51D75"/>
    <w:rsid w:val="00D5258E"/>
    <w:rsid w:val="00D53E7A"/>
    <w:rsid w:val="00D566B1"/>
    <w:rsid w:val="00D62112"/>
    <w:rsid w:val="00D63965"/>
    <w:rsid w:val="00D64A6E"/>
    <w:rsid w:val="00D6594C"/>
    <w:rsid w:val="00D669B3"/>
    <w:rsid w:val="00D725A7"/>
    <w:rsid w:val="00D732AF"/>
    <w:rsid w:val="00D83B07"/>
    <w:rsid w:val="00D9668B"/>
    <w:rsid w:val="00DA0712"/>
    <w:rsid w:val="00DA1D61"/>
    <w:rsid w:val="00DA2785"/>
    <w:rsid w:val="00DA4479"/>
    <w:rsid w:val="00DA51FA"/>
    <w:rsid w:val="00DA756C"/>
    <w:rsid w:val="00DA7A62"/>
    <w:rsid w:val="00DB1D87"/>
    <w:rsid w:val="00DB5546"/>
    <w:rsid w:val="00DB72F4"/>
    <w:rsid w:val="00DC04C4"/>
    <w:rsid w:val="00DC401C"/>
    <w:rsid w:val="00DD4050"/>
    <w:rsid w:val="00DD56BA"/>
    <w:rsid w:val="00DE18DD"/>
    <w:rsid w:val="00DE264F"/>
    <w:rsid w:val="00DE7A45"/>
    <w:rsid w:val="00DF2F1D"/>
    <w:rsid w:val="00E00D3C"/>
    <w:rsid w:val="00E0669B"/>
    <w:rsid w:val="00E0670E"/>
    <w:rsid w:val="00E12155"/>
    <w:rsid w:val="00E142CF"/>
    <w:rsid w:val="00E14D95"/>
    <w:rsid w:val="00E17B6E"/>
    <w:rsid w:val="00E21D20"/>
    <w:rsid w:val="00E2213D"/>
    <w:rsid w:val="00E258CB"/>
    <w:rsid w:val="00E26CE8"/>
    <w:rsid w:val="00E30528"/>
    <w:rsid w:val="00E33066"/>
    <w:rsid w:val="00E34B21"/>
    <w:rsid w:val="00E414C2"/>
    <w:rsid w:val="00E435C6"/>
    <w:rsid w:val="00E43B7B"/>
    <w:rsid w:val="00E45975"/>
    <w:rsid w:val="00E467EE"/>
    <w:rsid w:val="00E46D39"/>
    <w:rsid w:val="00E50A92"/>
    <w:rsid w:val="00E570CB"/>
    <w:rsid w:val="00E62220"/>
    <w:rsid w:val="00E6397F"/>
    <w:rsid w:val="00E71BA4"/>
    <w:rsid w:val="00E7317A"/>
    <w:rsid w:val="00E75556"/>
    <w:rsid w:val="00E75A76"/>
    <w:rsid w:val="00E8156E"/>
    <w:rsid w:val="00E81806"/>
    <w:rsid w:val="00E85307"/>
    <w:rsid w:val="00E86236"/>
    <w:rsid w:val="00E86C8A"/>
    <w:rsid w:val="00E87953"/>
    <w:rsid w:val="00E91DFC"/>
    <w:rsid w:val="00E9202B"/>
    <w:rsid w:val="00E93F9A"/>
    <w:rsid w:val="00E9736D"/>
    <w:rsid w:val="00E9752E"/>
    <w:rsid w:val="00EA2FB8"/>
    <w:rsid w:val="00EA6821"/>
    <w:rsid w:val="00EA75A5"/>
    <w:rsid w:val="00EB2D86"/>
    <w:rsid w:val="00EB3FFE"/>
    <w:rsid w:val="00EB4FB2"/>
    <w:rsid w:val="00EC372A"/>
    <w:rsid w:val="00ED3FBB"/>
    <w:rsid w:val="00ED41E3"/>
    <w:rsid w:val="00EE0CE5"/>
    <w:rsid w:val="00EE15FD"/>
    <w:rsid w:val="00EE42F0"/>
    <w:rsid w:val="00EE54FE"/>
    <w:rsid w:val="00EE6ABE"/>
    <w:rsid w:val="00EF1AB7"/>
    <w:rsid w:val="00EF1FC3"/>
    <w:rsid w:val="00EF4C0D"/>
    <w:rsid w:val="00EF6746"/>
    <w:rsid w:val="00EF79DF"/>
    <w:rsid w:val="00F03864"/>
    <w:rsid w:val="00F047E6"/>
    <w:rsid w:val="00F055BF"/>
    <w:rsid w:val="00F06DC9"/>
    <w:rsid w:val="00F1412D"/>
    <w:rsid w:val="00F1447D"/>
    <w:rsid w:val="00F14791"/>
    <w:rsid w:val="00F216E2"/>
    <w:rsid w:val="00F26BF4"/>
    <w:rsid w:val="00F32559"/>
    <w:rsid w:val="00F35C08"/>
    <w:rsid w:val="00F35FDF"/>
    <w:rsid w:val="00F363D3"/>
    <w:rsid w:val="00F37182"/>
    <w:rsid w:val="00F3774C"/>
    <w:rsid w:val="00F42319"/>
    <w:rsid w:val="00F46D83"/>
    <w:rsid w:val="00F517ED"/>
    <w:rsid w:val="00F51961"/>
    <w:rsid w:val="00F5279B"/>
    <w:rsid w:val="00F53041"/>
    <w:rsid w:val="00F540FA"/>
    <w:rsid w:val="00F54372"/>
    <w:rsid w:val="00F56965"/>
    <w:rsid w:val="00F57ADF"/>
    <w:rsid w:val="00F614CE"/>
    <w:rsid w:val="00F62A7F"/>
    <w:rsid w:val="00F6679B"/>
    <w:rsid w:val="00F67652"/>
    <w:rsid w:val="00F71344"/>
    <w:rsid w:val="00F72C3A"/>
    <w:rsid w:val="00F75F28"/>
    <w:rsid w:val="00F764B0"/>
    <w:rsid w:val="00F7702F"/>
    <w:rsid w:val="00F825F2"/>
    <w:rsid w:val="00F853C0"/>
    <w:rsid w:val="00F86E6D"/>
    <w:rsid w:val="00F86E8B"/>
    <w:rsid w:val="00F918A1"/>
    <w:rsid w:val="00F9726A"/>
    <w:rsid w:val="00F97304"/>
    <w:rsid w:val="00FA28FB"/>
    <w:rsid w:val="00FA2BC9"/>
    <w:rsid w:val="00FA2FF4"/>
    <w:rsid w:val="00FA4712"/>
    <w:rsid w:val="00FA5905"/>
    <w:rsid w:val="00FB0505"/>
    <w:rsid w:val="00FB05A7"/>
    <w:rsid w:val="00FB0E40"/>
    <w:rsid w:val="00FB0F4E"/>
    <w:rsid w:val="00FB35A3"/>
    <w:rsid w:val="00FB6642"/>
    <w:rsid w:val="00FC040E"/>
    <w:rsid w:val="00FC426B"/>
    <w:rsid w:val="00FC43D2"/>
    <w:rsid w:val="00FC6031"/>
    <w:rsid w:val="00FC6E84"/>
    <w:rsid w:val="00FC7E76"/>
    <w:rsid w:val="00FC7EC9"/>
    <w:rsid w:val="00FD1A66"/>
    <w:rsid w:val="00FD67C7"/>
    <w:rsid w:val="00FD68DA"/>
    <w:rsid w:val="00FE1A64"/>
    <w:rsid w:val="00FE2F43"/>
    <w:rsid w:val="00FE6694"/>
    <w:rsid w:val="00FE7678"/>
    <w:rsid w:val="00FF04EC"/>
    <w:rsid w:val="00FF5513"/>
    <w:rsid w:val="00FF5550"/>
    <w:rsid w:val="00FF7A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A6384D"/>
    <w:pPr>
      <w:keepNext/>
      <w:keepLines/>
      <w:pageBreakBefore/>
      <w:spacing w:before="240" w:after="24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62A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644EB"/>
    <w:pPr>
      <w:keepNext/>
      <w:keepLines/>
      <w:spacing w:before="200" w:after="0"/>
      <w:outlineLvl w:val="2"/>
    </w:pPr>
    <w:rPr>
      <w:rFonts w:asciiTheme="majorHAnsi" w:eastAsiaTheme="majorEastAsia" w:hAnsiTheme="majorHAnsi" w:cstheme="majorBidi"/>
      <w:b/>
      <w:bCs/>
      <w:color w:val="4F81BD" w:themeColor="accent1"/>
      <w:sz w:val="24"/>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74B0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AC4441"/>
    <w:pPr>
      <w:keepNext/>
      <w:spacing w:line="240" w:lineRule="auto"/>
    </w:pPr>
    <w:rPr>
      <w:b/>
      <w:bCs/>
    </w:rPr>
  </w:style>
  <w:style w:type="character" w:customStyle="1" w:styleId="Heading1Char">
    <w:name w:val="Heading 1 Char"/>
    <w:basedOn w:val="DefaultParagraphFont"/>
    <w:link w:val="Heading1"/>
    <w:uiPriority w:val="9"/>
    <w:rsid w:val="00A6384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644EB"/>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240731"/>
    <w:rPr>
      <w:color w:val="0000FF"/>
      <w:u w:val="single"/>
    </w:rPr>
  </w:style>
  <w:style w:type="character" w:customStyle="1" w:styleId="Heading2Char">
    <w:name w:val="Heading 2 Char"/>
    <w:basedOn w:val="DefaultParagraphFont"/>
    <w:link w:val="Heading2"/>
    <w:uiPriority w:val="9"/>
    <w:rsid w:val="00F62A7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615048"/>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Heading5Char">
    <w:name w:val="Heading 5 Char"/>
    <w:basedOn w:val="DefaultParagraphFont"/>
    <w:link w:val="Heading5"/>
    <w:uiPriority w:val="9"/>
    <w:rsid w:val="00674B01"/>
    <w:rPr>
      <w:rFonts w:asciiTheme="majorHAnsi" w:eastAsiaTheme="majorEastAsia" w:hAnsiTheme="majorHAnsi" w:cstheme="majorBidi"/>
      <w:color w:val="243F60" w:themeColor="accent1" w:themeShade="7F"/>
    </w:rPr>
  </w:style>
  <w:style w:type="character" w:customStyle="1" w:styleId="name">
    <w:name w:val="name"/>
    <w:basedOn w:val="DefaultParagraphFont"/>
    <w:rsid w:val="0089426A"/>
  </w:style>
  <w:style w:type="paragraph" w:customStyle="1" w:styleId="Question">
    <w:name w:val="Question"/>
    <w:basedOn w:val="ListParagraph"/>
    <w:qFormat/>
    <w:rsid w:val="000B4631"/>
    <w:pPr>
      <w:keepLines/>
      <w:numPr>
        <w:numId w:val="32"/>
      </w:numPr>
      <w:pBdr>
        <w:top w:val="single" w:sz="4" w:space="1" w:color="auto"/>
        <w:left w:val="single" w:sz="4" w:space="4" w:color="auto"/>
        <w:bottom w:val="single" w:sz="4" w:space="1" w:color="auto"/>
        <w:right w:val="single" w:sz="4" w:space="4" w:color="auto"/>
      </w:pBdr>
      <w:ind w:left="357" w:hanging="357"/>
    </w:pPr>
    <w:rPr>
      <w:b/>
    </w:rPr>
  </w:style>
  <w:style w:type="table" w:styleId="LightShading">
    <w:name w:val="Light Shading"/>
    <w:basedOn w:val="TableNormal"/>
    <w:uiPriority w:val="60"/>
    <w:rsid w:val="00AC444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2">
    <w:name w:val="toc 2"/>
    <w:basedOn w:val="Normal"/>
    <w:next w:val="Normal"/>
    <w:autoRedefine/>
    <w:uiPriority w:val="39"/>
    <w:unhideWhenUsed/>
    <w:rsid w:val="008274A5"/>
    <w:pPr>
      <w:spacing w:after="100"/>
      <w:ind w:left="220"/>
    </w:pPr>
  </w:style>
  <w:style w:type="paragraph" w:styleId="TOC1">
    <w:name w:val="toc 1"/>
    <w:basedOn w:val="Normal"/>
    <w:next w:val="Normal"/>
    <w:autoRedefine/>
    <w:uiPriority w:val="39"/>
    <w:unhideWhenUsed/>
    <w:rsid w:val="004376DF"/>
    <w:pPr>
      <w:pBdr>
        <w:left w:val="single" w:sz="4" w:space="4" w:color="auto"/>
        <w:right w:val="single" w:sz="4" w:space="4" w:color="auto"/>
      </w:pBdr>
      <w:tabs>
        <w:tab w:val="left" w:pos="709"/>
        <w:tab w:val="right" w:leader="dot" w:pos="9016"/>
      </w:tabs>
      <w:spacing w:after="0" w:line="240" w:lineRule="auto"/>
      <w:ind w:left="709" w:hanging="709"/>
    </w:pPr>
    <w:rPr>
      <w:noProof/>
    </w:rPr>
  </w:style>
  <w:style w:type="paragraph" w:customStyle="1" w:styleId="Sub-question">
    <w:name w:val="Sub-question"/>
    <w:basedOn w:val="Question"/>
    <w:qFormat/>
    <w:rsid w:val="00375975"/>
    <w:pPr>
      <w:numPr>
        <w:numId w:val="0"/>
      </w:numPr>
      <w:tabs>
        <w:tab w:val="left" w:pos="709"/>
        <w:tab w:val="left" w:pos="1134"/>
      </w:tabs>
      <w:ind w:left="1134"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6E8"/>
  </w:style>
  <w:style w:type="paragraph" w:styleId="Heading1">
    <w:name w:val="heading 1"/>
    <w:basedOn w:val="Normal"/>
    <w:next w:val="Normal"/>
    <w:link w:val="Heading1Char"/>
    <w:uiPriority w:val="9"/>
    <w:qFormat/>
    <w:rsid w:val="00A6384D"/>
    <w:pPr>
      <w:keepNext/>
      <w:keepLines/>
      <w:pageBreakBefore/>
      <w:spacing w:before="240" w:after="24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62A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644EB"/>
    <w:pPr>
      <w:keepNext/>
      <w:keepLines/>
      <w:spacing w:before="200" w:after="0"/>
      <w:outlineLvl w:val="2"/>
    </w:pPr>
    <w:rPr>
      <w:rFonts w:asciiTheme="majorHAnsi" w:eastAsiaTheme="majorEastAsia" w:hAnsiTheme="majorHAnsi" w:cstheme="majorBidi"/>
      <w:b/>
      <w:bCs/>
      <w:color w:val="4F81BD" w:themeColor="accent1"/>
      <w:sz w:val="24"/>
    </w:rPr>
  </w:style>
  <w:style w:type="paragraph" w:styleId="Heading4">
    <w:name w:val="heading 4"/>
    <w:basedOn w:val="Normal"/>
    <w:next w:val="Normal"/>
    <w:link w:val="Heading4Char"/>
    <w:uiPriority w:val="9"/>
    <w:unhideWhenUsed/>
    <w:qFormat/>
    <w:rsid w:val="0095425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674B0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76E8"/>
    <w:pPr>
      <w:ind w:left="720"/>
      <w:contextualSpacing/>
    </w:pPr>
  </w:style>
  <w:style w:type="table" w:styleId="TableGrid">
    <w:name w:val="Table Grid"/>
    <w:basedOn w:val="TableNormal"/>
    <w:uiPriority w:val="59"/>
    <w:rsid w:val="00FA2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718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A0A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0ACF"/>
  </w:style>
  <w:style w:type="paragraph" w:styleId="Footer">
    <w:name w:val="footer"/>
    <w:basedOn w:val="Normal"/>
    <w:link w:val="FooterChar"/>
    <w:uiPriority w:val="99"/>
    <w:unhideWhenUsed/>
    <w:rsid w:val="005A0A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0ACF"/>
  </w:style>
  <w:style w:type="character" w:styleId="CommentReference">
    <w:name w:val="annotation reference"/>
    <w:basedOn w:val="DefaultParagraphFont"/>
    <w:uiPriority w:val="99"/>
    <w:semiHidden/>
    <w:unhideWhenUsed/>
    <w:rsid w:val="00FE2F43"/>
    <w:rPr>
      <w:sz w:val="16"/>
      <w:szCs w:val="16"/>
    </w:rPr>
  </w:style>
  <w:style w:type="paragraph" w:styleId="CommentText">
    <w:name w:val="annotation text"/>
    <w:basedOn w:val="Normal"/>
    <w:link w:val="CommentTextChar"/>
    <w:uiPriority w:val="99"/>
    <w:unhideWhenUsed/>
    <w:rsid w:val="00FE2F43"/>
    <w:pPr>
      <w:spacing w:line="240" w:lineRule="auto"/>
    </w:pPr>
    <w:rPr>
      <w:sz w:val="20"/>
      <w:szCs w:val="20"/>
    </w:rPr>
  </w:style>
  <w:style w:type="character" w:customStyle="1" w:styleId="CommentTextChar">
    <w:name w:val="Comment Text Char"/>
    <w:basedOn w:val="DefaultParagraphFont"/>
    <w:link w:val="CommentText"/>
    <w:uiPriority w:val="99"/>
    <w:rsid w:val="00FE2F43"/>
    <w:rPr>
      <w:sz w:val="20"/>
      <w:szCs w:val="20"/>
    </w:rPr>
  </w:style>
  <w:style w:type="paragraph" w:styleId="CommentSubject">
    <w:name w:val="annotation subject"/>
    <w:basedOn w:val="CommentText"/>
    <w:next w:val="CommentText"/>
    <w:link w:val="CommentSubjectChar"/>
    <w:uiPriority w:val="99"/>
    <w:semiHidden/>
    <w:unhideWhenUsed/>
    <w:rsid w:val="00FE2F43"/>
    <w:rPr>
      <w:b/>
      <w:bCs/>
    </w:rPr>
  </w:style>
  <w:style w:type="character" w:customStyle="1" w:styleId="CommentSubjectChar">
    <w:name w:val="Comment Subject Char"/>
    <w:basedOn w:val="CommentTextChar"/>
    <w:link w:val="CommentSubject"/>
    <w:uiPriority w:val="99"/>
    <w:semiHidden/>
    <w:rsid w:val="00FE2F43"/>
    <w:rPr>
      <w:b/>
      <w:bCs/>
      <w:sz w:val="20"/>
      <w:szCs w:val="20"/>
    </w:rPr>
  </w:style>
  <w:style w:type="paragraph" w:styleId="BalloonText">
    <w:name w:val="Balloon Text"/>
    <w:basedOn w:val="Normal"/>
    <w:link w:val="BalloonTextChar"/>
    <w:uiPriority w:val="99"/>
    <w:semiHidden/>
    <w:unhideWhenUsed/>
    <w:rsid w:val="00FE2F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F43"/>
    <w:rPr>
      <w:rFonts w:ascii="Tahoma" w:hAnsi="Tahoma" w:cs="Tahoma"/>
      <w:sz w:val="16"/>
      <w:szCs w:val="16"/>
    </w:rPr>
  </w:style>
  <w:style w:type="paragraph" w:styleId="Revision">
    <w:name w:val="Revision"/>
    <w:hidden/>
    <w:uiPriority w:val="99"/>
    <w:semiHidden/>
    <w:rsid w:val="0018038A"/>
    <w:pPr>
      <w:spacing w:after="0" w:line="240" w:lineRule="auto"/>
    </w:pPr>
  </w:style>
  <w:style w:type="paragraph" w:styleId="FootnoteText">
    <w:name w:val="footnote text"/>
    <w:aliases w:val="-E Fußnotentext,footnote text,Fußnotentext Ursprung"/>
    <w:basedOn w:val="Normal"/>
    <w:link w:val="FootnoteTextChar"/>
    <w:rsid w:val="007A019A"/>
    <w:pPr>
      <w:suppressAutoHyphens/>
      <w:spacing w:after="0" w:line="240" w:lineRule="auto"/>
      <w:jc w:val="both"/>
    </w:pPr>
    <w:rPr>
      <w:rFonts w:ascii="Arial" w:eastAsia="Times New Roman" w:hAnsi="Arial" w:cs="Times New Roman"/>
      <w:sz w:val="20"/>
      <w:szCs w:val="20"/>
      <w:lang w:val="en-US"/>
    </w:rPr>
  </w:style>
  <w:style w:type="character" w:customStyle="1" w:styleId="FootnoteTextChar">
    <w:name w:val="Footnote Text Char"/>
    <w:aliases w:val="-E Fußnotentext Char,footnote text Char,Fußnotentext Ursprung Char"/>
    <w:basedOn w:val="DefaultParagraphFont"/>
    <w:link w:val="FootnoteText"/>
    <w:rsid w:val="007A019A"/>
    <w:rPr>
      <w:rFonts w:ascii="Arial" w:eastAsia="Times New Roman" w:hAnsi="Arial" w:cs="Times New Roman"/>
      <w:sz w:val="20"/>
      <w:szCs w:val="20"/>
      <w:lang w:val="en-US"/>
    </w:rPr>
  </w:style>
  <w:style w:type="character" w:styleId="FootnoteReference">
    <w:name w:val="footnote reference"/>
    <w:aliases w:val="-E Fußnotenzeichen"/>
    <w:basedOn w:val="DefaultParagraphFont"/>
    <w:rsid w:val="007A019A"/>
    <w:rPr>
      <w:vertAlign w:val="superscript"/>
    </w:rPr>
  </w:style>
  <w:style w:type="table" w:styleId="LightList-Accent1">
    <w:name w:val="Light List Accent 1"/>
    <w:basedOn w:val="TableNormal"/>
    <w:uiPriority w:val="61"/>
    <w:rsid w:val="007A019A"/>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ListParagraphChar">
    <w:name w:val="List Paragraph Char"/>
    <w:basedOn w:val="DefaultParagraphFont"/>
    <w:link w:val="ListParagraph"/>
    <w:uiPriority w:val="34"/>
    <w:locked/>
    <w:rsid w:val="007A019A"/>
  </w:style>
  <w:style w:type="paragraph" w:styleId="Caption">
    <w:name w:val="caption"/>
    <w:basedOn w:val="Normal"/>
    <w:next w:val="Normal"/>
    <w:uiPriority w:val="35"/>
    <w:unhideWhenUsed/>
    <w:qFormat/>
    <w:rsid w:val="00AC4441"/>
    <w:pPr>
      <w:keepNext/>
      <w:spacing w:line="240" w:lineRule="auto"/>
    </w:pPr>
    <w:rPr>
      <w:b/>
      <w:bCs/>
    </w:rPr>
  </w:style>
  <w:style w:type="character" w:customStyle="1" w:styleId="Heading1Char">
    <w:name w:val="Heading 1 Char"/>
    <w:basedOn w:val="DefaultParagraphFont"/>
    <w:link w:val="Heading1"/>
    <w:uiPriority w:val="9"/>
    <w:rsid w:val="00A6384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A644EB"/>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95425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240731"/>
    <w:rPr>
      <w:color w:val="0000FF"/>
      <w:u w:val="single"/>
    </w:rPr>
  </w:style>
  <w:style w:type="character" w:customStyle="1" w:styleId="Heading2Char">
    <w:name w:val="Heading 2 Char"/>
    <w:basedOn w:val="DefaultParagraphFont"/>
    <w:link w:val="Heading2"/>
    <w:uiPriority w:val="9"/>
    <w:rsid w:val="00F62A7F"/>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615048"/>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customStyle="1" w:styleId="Heading5Char">
    <w:name w:val="Heading 5 Char"/>
    <w:basedOn w:val="DefaultParagraphFont"/>
    <w:link w:val="Heading5"/>
    <w:uiPriority w:val="9"/>
    <w:rsid w:val="00674B01"/>
    <w:rPr>
      <w:rFonts w:asciiTheme="majorHAnsi" w:eastAsiaTheme="majorEastAsia" w:hAnsiTheme="majorHAnsi" w:cstheme="majorBidi"/>
      <w:color w:val="243F60" w:themeColor="accent1" w:themeShade="7F"/>
    </w:rPr>
  </w:style>
  <w:style w:type="character" w:customStyle="1" w:styleId="name">
    <w:name w:val="name"/>
    <w:basedOn w:val="DefaultParagraphFont"/>
    <w:rsid w:val="0089426A"/>
  </w:style>
  <w:style w:type="paragraph" w:customStyle="1" w:styleId="Question">
    <w:name w:val="Question"/>
    <w:basedOn w:val="ListParagraph"/>
    <w:qFormat/>
    <w:rsid w:val="000B4631"/>
    <w:pPr>
      <w:keepLines/>
      <w:numPr>
        <w:numId w:val="32"/>
      </w:numPr>
      <w:pBdr>
        <w:top w:val="single" w:sz="4" w:space="1" w:color="auto"/>
        <w:left w:val="single" w:sz="4" w:space="4" w:color="auto"/>
        <w:bottom w:val="single" w:sz="4" w:space="1" w:color="auto"/>
        <w:right w:val="single" w:sz="4" w:space="4" w:color="auto"/>
      </w:pBdr>
      <w:ind w:left="357" w:hanging="357"/>
    </w:pPr>
    <w:rPr>
      <w:b/>
    </w:rPr>
  </w:style>
  <w:style w:type="table" w:styleId="LightShading">
    <w:name w:val="Light Shading"/>
    <w:basedOn w:val="TableNormal"/>
    <w:uiPriority w:val="60"/>
    <w:rsid w:val="00AC444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2">
    <w:name w:val="toc 2"/>
    <w:basedOn w:val="Normal"/>
    <w:next w:val="Normal"/>
    <w:autoRedefine/>
    <w:uiPriority w:val="39"/>
    <w:unhideWhenUsed/>
    <w:rsid w:val="008274A5"/>
    <w:pPr>
      <w:spacing w:after="100"/>
      <w:ind w:left="220"/>
    </w:pPr>
  </w:style>
  <w:style w:type="paragraph" w:styleId="TOC1">
    <w:name w:val="toc 1"/>
    <w:basedOn w:val="Normal"/>
    <w:next w:val="Normal"/>
    <w:autoRedefine/>
    <w:uiPriority w:val="39"/>
    <w:unhideWhenUsed/>
    <w:rsid w:val="004376DF"/>
    <w:pPr>
      <w:pBdr>
        <w:left w:val="single" w:sz="4" w:space="4" w:color="auto"/>
        <w:right w:val="single" w:sz="4" w:space="4" w:color="auto"/>
      </w:pBdr>
      <w:tabs>
        <w:tab w:val="left" w:pos="709"/>
        <w:tab w:val="right" w:leader="dot" w:pos="9016"/>
      </w:tabs>
      <w:spacing w:after="0" w:line="240" w:lineRule="auto"/>
      <w:ind w:left="709" w:hanging="709"/>
    </w:pPr>
    <w:rPr>
      <w:noProof/>
    </w:rPr>
  </w:style>
  <w:style w:type="paragraph" w:customStyle="1" w:styleId="Sub-question">
    <w:name w:val="Sub-question"/>
    <w:basedOn w:val="Question"/>
    <w:qFormat/>
    <w:rsid w:val="00375975"/>
    <w:pPr>
      <w:numPr>
        <w:numId w:val="0"/>
      </w:numPr>
      <w:tabs>
        <w:tab w:val="left" w:pos="709"/>
        <w:tab w:val="left" w:pos="1134"/>
      </w:tabs>
      <w:ind w:left="1134"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4466">
      <w:bodyDiv w:val="1"/>
      <w:marLeft w:val="0"/>
      <w:marRight w:val="0"/>
      <w:marTop w:val="0"/>
      <w:marBottom w:val="0"/>
      <w:divBdr>
        <w:top w:val="none" w:sz="0" w:space="0" w:color="auto"/>
        <w:left w:val="none" w:sz="0" w:space="0" w:color="auto"/>
        <w:bottom w:val="none" w:sz="0" w:space="0" w:color="auto"/>
        <w:right w:val="none" w:sz="0" w:space="0" w:color="auto"/>
      </w:divBdr>
    </w:div>
    <w:div w:id="160319845">
      <w:bodyDiv w:val="1"/>
      <w:marLeft w:val="0"/>
      <w:marRight w:val="0"/>
      <w:marTop w:val="0"/>
      <w:marBottom w:val="0"/>
      <w:divBdr>
        <w:top w:val="none" w:sz="0" w:space="0" w:color="auto"/>
        <w:left w:val="none" w:sz="0" w:space="0" w:color="auto"/>
        <w:bottom w:val="none" w:sz="0" w:space="0" w:color="auto"/>
        <w:right w:val="none" w:sz="0" w:space="0" w:color="auto"/>
      </w:divBdr>
    </w:div>
    <w:div w:id="211036415">
      <w:bodyDiv w:val="1"/>
      <w:marLeft w:val="0"/>
      <w:marRight w:val="0"/>
      <w:marTop w:val="0"/>
      <w:marBottom w:val="0"/>
      <w:divBdr>
        <w:top w:val="none" w:sz="0" w:space="0" w:color="auto"/>
        <w:left w:val="none" w:sz="0" w:space="0" w:color="auto"/>
        <w:bottom w:val="none" w:sz="0" w:space="0" w:color="auto"/>
        <w:right w:val="none" w:sz="0" w:space="0" w:color="auto"/>
      </w:divBdr>
    </w:div>
    <w:div w:id="237713694">
      <w:bodyDiv w:val="1"/>
      <w:marLeft w:val="0"/>
      <w:marRight w:val="0"/>
      <w:marTop w:val="0"/>
      <w:marBottom w:val="0"/>
      <w:divBdr>
        <w:top w:val="none" w:sz="0" w:space="0" w:color="auto"/>
        <w:left w:val="none" w:sz="0" w:space="0" w:color="auto"/>
        <w:bottom w:val="none" w:sz="0" w:space="0" w:color="auto"/>
        <w:right w:val="none" w:sz="0" w:space="0" w:color="auto"/>
      </w:divBdr>
    </w:div>
    <w:div w:id="304432085">
      <w:bodyDiv w:val="1"/>
      <w:marLeft w:val="0"/>
      <w:marRight w:val="0"/>
      <w:marTop w:val="0"/>
      <w:marBottom w:val="0"/>
      <w:divBdr>
        <w:top w:val="none" w:sz="0" w:space="0" w:color="auto"/>
        <w:left w:val="none" w:sz="0" w:space="0" w:color="auto"/>
        <w:bottom w:val="none" w:sz="0" w:space="0" w:color="auto"/>
        <w:right w:val="none" w:sz="0" w:space="0" w:color="auto"/>
      </w:divBdr>
    </w:div>
    <w:div w:id="305791230">
      <w:bodyDiv w:val="1"/>
      <w:marLeft w:val="0"/>
      <w:marRight w:val="0"/>
      <w:marTop w:val="0"/>
      <w:marBottom w:val="0"/>
      <w:divBdr>
        <w:top w:val="none" w:sz="0" w:space="0" w:color="auto"/>
        <w:left w:val="none" w:sz="0" w:space="0" w:color="auto"/>
        <w:bottom w:val="none" w:sz="0" w:space="0" w:color="auto"/>
        <w:right w:val="none" w:sz="0" w:space="0" w:color="auto"/>
      </w:divBdr>
    </w:div>
    <w:div w:id="693769590">
      <w:bodyDiv w:val="1"/>
      <w:marLeft w:val="0"/>
      <w:marRight w:val="0"/>
      <w:marTop w:val="0"/>
      <w:marBottom w:val="0"/>
      <w:divBdr>
        <w:top w:val="none" w:sz="0" w:space="0" w:color="auto"/>
        <w:left w:val="none" w:sz="0" w:space="0" w:color="auto"/>
        <w:bottom w:val="none" w:sz="0" w:space="0" w:color="auto"/>
        <w:right w:val="none" w:sz="0" w:space="0" w:color="auto"/>
      </w:divBdr>
    </w:div>
    <w:div w:id="758646070">
      <w:bodyDiv w:val="1"/>
      <w:marLeft w:val="0"/>
      <w:marRight w:val="0"/>
      <w:marTop w:val="0"/>
      <w:marBottom w:val="0"/>
      <w:divBdr>
        <w:top w:val="none" w:sz="0" w:space="0" w:color="auto"/>
        <w:left w:val="none" w:sz="0" w:space="0" w:color="auto"/>
        <w:bottom w:val="none" w:sz="0" w:space="0" w:color="auto"/>
        <w:right w:val="none" w:sz="0" w:space="0" w:color="auto"/>
      </w:divBdr>
      <w:divsChild>
        <w:div w:id="341666501">
          <w:marLeft w:val="0"/>
          <w:marRight w:val="0"/>
          <w:marTop w:val="0"/>
          <w:marBottom w:val="0"/>
          <w:divBdr>
            <w:top w:val="none" w:sz="0" w:space="0" w:color="auto"/>
            <w:left w:val="none" w:sz="0" w:space="0" w:color="auto"/>
            <w:bottom w:val="none" w:sz="0" w:space="0" w:color="auto"/>
            <w:right w:val="none" w:sz="0" w:space="0" w:color="auto"/>
          </w:divBdr>
          <w:divsChild>
            <w:div w:id="1823084489">
              <w:marLeft w:val="0"/>
              <w:marRight w:val="0"/>
              <w:marTop w:val="0"/>
              <w:marBottom w:val="0"/>
              <w:divBdr>
                <w:top w:val="single" w:sz="6" w:space="8" w:color="AAAAAA"/>
                <w:left w:val="single" w:sz="6" w:space="8" w:color="AAAAAA"/>
                <w:bottom w:val="single" w:sz="6" w:space="8" w:color="AAAAAA"/>
                <w:right w:val="single" w:sz="6" w:space="8" w:color="AAAAAA"/>
              </w:divBdr>
              <w:divsChild>
                <w:div w:id="78646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535944">
      <w:bodyDiv w:val="1"/>
      <w:marLeft w:val="0"/>
      <w:marRight w:val="0"/>
      <w:marTop w:val="0"/>
      <w:marBottom w:val="0"/>
      <w:divBdr>
        <w:top w:val="none" w:sz="0" w:space="0" w:color="auto"/>
        <w:left w:val="none" w:sz="0" w:space="0" w:color="auto"/>
        <w:bottom w:val="none" w:sz="0" w:space="0" w:color="auto"/>
        <w:right w:val="none" w:sz="0" w:space="0" w:color="auto"/>
      </w:divBdr>
      <w:divsChild>
        <w:div w:id="2064016089">
          <w:marLeft w:val="0"/>
          <w:marRight w:val="0"/>
          <w:marTop w:val="0"/>
          <w:marBottom w:val="0"/>
          <w:divBdr>
            <w:top w:val="none" w:sz="0" w:space="0" w:color="auto"/>
            <w:left w:val="none" w:sz="0" w:space="0" w:color="auto"/>
            <w:bottom w:val="none" w:sz="0" w:space="0" w:color="auto"/>
            <w:right w:val="none" w:sz="0" w:space="0" w:color="auto"/>
          </w:divBdr>
          <w:divsChild>
            <w:div w:id="1410882126">
              <w:marLeft w:val="0"/>
              <w:marRight w:val="0"/>
              <w:marTop w:val="0"/>
              <w:marBottom w:val="0"/>
              <w:divBdr>
                <w:top w:val="single" w:sz="6" w:space="8" w:color="AAAAAA"/>
                <w:left w:val="single" w:sz="6" w:space="8" w:color="AAAAAA"/>
                <w:bottom w:val="single" w:sz="6" w:space="8" w:color="AAAAAA"/>
                <w:right w:val="single" w:sz="6" w:space="8" w:color="AAAAAA"/>
              </w:divBdr>
            </w:div>
          </w:divsChild>
        </w:div>
      </w:divsChild>
    </w:div>
    <w:div w:id="975333033">
      <w:bodyDiv w:val="1"/>
      <w:marLeft w:val="0"/>
      <w:marRight w:val="0"/>
      <w:marTop w:val="0"/>
      <w:marBottom w:val="0"/>
      <w:divBdr>
        <w:top w:val="none" w:sz="0" w:space="0" w:color="auto"/>
        <w:left w:val="none" w:sz="0" w:space="0" w:color="auto"/>
        <w:bottom w:val="none" w:sz="0" w:space="0" w:color="auto"/>
        <w:right w:val="none" w:sz="0" w:space="0" w:color="auto"/>
      </w:divBdr>
    </w:div>
    <w:div w:id="1043284050">
      <w:bodyDiv w:val="1"/>
      <w:marLeft w:val="0"/>
      <w:marRight w:val="0"/>
      <w:marTop w:val="0"/>
      <w:marBottom w:val="0"/>
      <w:divBdr>
        <w:top w:val="none" w:sz="0" w:space="0" w:color="auto"/>
        <w:left w:val="none" w:sz="0" w:space="0" w:color="auto"/>
        <w:bottom w:val="none" w:sz="0" w:space="0" w:color="auto"/>
        <w:right w:val="none" w:sz="0" w:space="0" w:color="auto"/>
      </w:divBdr>
    </w:div>
    <w:div w:id="1293753514">
      <w:bodyDiv w:val="1"/>
      <w:marLeft w:val="0"/>
      <w:marRight w:val="0"/>
      <w:marTop w:val="0"/>
      <w:marBottom w:val="0"/>
      <w:divBdr>
        <w:top w:val="none" w:sz="0" w:space="0" w:color="auto"/>
        <w:left w:val="none" w:sz="0" w:space="0" w:color="auto"/>
        <w:bottom w:val="none" w:sz="0" w:space="0" w:color="auto"/>
        <w:right w:val="none" w:sz="0" w:space="0" w:color="auto"/>
      </w:divBdr>
    </w:div>
    <w:div w:id="1503009218">
      <w:bodyDiv w:val="1"/>
      <w:marLeft w:val="0"/>
      <w:marRight w:val="0"/>
      <w:marTop w:val="0"/>
      <w:marBottom w:val="0"/>
      <w:divBdr>
        <w:top w:val="none" w:sz="0" w:space="0" w:color="auto"/>
        <w:left w:val="none" w:sz="0" w:space="0" w:color="auto"/>
        <w:bottom w:val="none" w:sz="0" w:space="0" w:color="auto"/>
        <w:right w:val="none" w:sz="0" w:space="0" w:color="auto"/>
      </w:divBdr>
    </w:div>
    <w:div w:id="1664352841">
      <w:bodyDiv w:val="1"/>
      <w:marLeft w:val="0"/>
      <w:marRight w:val="0"/>
      <w:marTop w:val="0"/>
      <w:marBottom w:val="0"/>
      <w:divBdr>
        <w:top w:val="none" w:sz="0" w:space="0" w:color="auto"/>
        <w:left w:val="none" w:sz="0" w:space="0" w:color="auto"/>
        <w:bottom w:val="none" w:sz="0" w:space="0" w:color="auto"/>
        <w:right w:val="none" w:sz="0" w:space="0" w:color="auto"/>
      </w:divBdr>
    </w:div>
    <w:div w:id="1700429179">
      <w:bodyDiv w:val="1"/>
      <w:marLeft w:val="0"/>
      <w:marRight w:val="0"/>
      <w:marTop w:val="0"/>
      <w:marBottom w:val="0"/>
      <w:divBdr>
        <w:top w:val="none" w:sz="0" w:space="0" w:color="auto"/>
        <w:left w:val="none" w:sz="0" w:space="0" w:color="auto"/>
        <w:bottom w:val="none" w:sz="0" w:space="0" w:color="auto"/>
        <w:right w:val="none" w:sz="0" w:space="0" w:color="auto"/>
      </w:divBdr>
      <w:divsChild>
        <w:div w:id="1279068750">
          <w:marLeft w:val="0"/>
          <w:marRight w:val="0"/>
          <w:marTop w:val="0"/>
          <w:marBottom w:val="0"/>
          <w:divBdr>
            <w:top w:val="none" w:sz="0" w:space="0" w:color="auto"/>
            <w:left w:val="none" w:sz="0" w:space="0" w:color="auto"/>
            <w:bottom w:val="none" w:sz="0" w:space="0" w:color="auto"/>
            <w:right w:val="none" w:sz="0" w:space="0" w:color="auto"/>
          </w:divBdr>
          <w:divsChild>
            <w:div w:id="1698460228">
              <w:marLeft w:val="0"/>
              <w:marRight w:val="0"/>
              <w:marTop w:val="0"/>
              <w:marBottom w:val="0"/>
              <w:divBdr>
                <w:top w:val="single" w:sz="6" w:space="8" w:color="AAAAAA"/>
                <w:left w:val="single" w:sz="6" w:space="8" w:color="AAAAAA"/>
                <w:bottom w:val="single" w:sz="6" w:space="8" w:color="AAAAAA"/>
                <w:right w:val="single" w:sz="6" w:space="8" w:color="AAAAAA"/>
              </w:divBdr>
              <w:divsChild>
                <w:div w:id="121963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102952">
      <w:bodyDiv w:val="1"/>
      <w:marLeft w:val="0"/>
      <w:marRight w:val="0"/>
      <w:marTop w:val="0"/>
      <w:marBottom w:val="0"/>
      <w:divBdr>
        <w:top w:val="none" w:sz="0" w:space="0" w:color="auto"/>
        <w:left w:val="none" w:sz="0" w:space="0" w:color="auto"/>
        <w:bottom w:val="none" w:sz="0" w:space="0" w:color="auto"/>
        <w:right w:val="none" w:sz="0" w:space="0" w:color="auto"/>
      </w:divBdr>
    </w:div>
    <w:div w:id="1728453679">
      <w:bodyDiv w:val="1"/>
      <w:marLeft w:val="0"/>
      <w:marRight w:val="0"/>
      <w:marTop w:val="0"/>
      <w:marBottom w:val="0"/>
      <w:divBdr>
        <w:top w:val="none" w:sz="0" w:space="0" w:color="auto"/>
        <w:left w:val="none" w:sz="0" w:space="0" w:color="auto"/>
        <w:bottom w:val="none" w:sz="0" w:space="0" w:color="auto"/>
        <w:right w:val="none" w:sz="0" w:space="0" w:color="auto"/>
      </w:divBdr>
      <w:divsChild>
        <w:div w:id="512035476">
          <w:marLeft w:val="0"/>
          <w:marRight w:val="0"/>
          <w:marTop w:val="0"/>
          <w:marBottom w:val="0"/>
          <w:divBdr>
            <w:top w:val="none" w:sz="0" w:space="0" w:color="auto"/>
            <w:left w:val="none" w:sz="0" w:space="0" w:color="auto"/>
            <w:bottom w:val="none" w:sz="0" w:space="0" w:color="auto"/>
            <w:right w:val="none" w:sz="0" w:space="0" w:color="auto"/>
          </w:divBdr>
          <w:divsChild>
            <w:div w:id="1277444401">
              <w:marLeft w:val="0"/>
              <w:marRight w:val="0"/>
              <w:marTop w:val="0"/>
              <w:marBottom w:val="0"/>
              <w:divBdr>
                <w:top w:val="single" w:sz="6" w:space="8" w:color="AAAAAA"/>
                <w:left w:val="single" w:sz="6" w:space="8" w:color="AAAAAA"/>
                <w:bottom w:val="single" w:sz="6" w:space="8" w:color="AAAAAA"/>
                <w:right w:val="single" w:sz="6" w:space="8" w:color="AAAAAA"/>
              </w:divBdr>
              <w:divsChild>
                <w:div w:id="129567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476722">
      <w:bodyDiv w:val="1"/>
      <w:marLeft w:val="0"/>
      <w:marRight w:val="0"/>
      <w:marTop w:val="0"/>
      <w:marBottom w:val="0"/>
      <w:divBdr>
        <w:top w:val="none" w:sz="0" w:space="0" w:color="auto"/>
        <w:left w:val="none" w:sz="0" w:space="0" w:color="auto"/>
        <w:bottom w:val="none" w:sz="0" w:space="0" w:color="auto"/>
        <w:right w:val="none" w:sz="0" w:space="0" w:color="auto"/>
      </w:divBdr>
    </w:div>
    <w:div w:id="1892884062">
      <w:bodyDiv w:val="1"/>
      <w:marLeft w:val="0"/>
      <w:marRight w:val="0"/>
      <w:marTop w:val="0"/>
      <w:marBottom w:val="0"/>
      <w:divBdr>
        <w:top w:val="none" w:sz="0" w:space="0" w:color="auto"/>
        <w:left w:val="none" w:sz="0" w:space="0" w:color="auto"/>
        <w:bottom w:val="none" w:sz="0" w:space="0" w:color="auto"/>
        <w:right w:val="none" w:sz="0" w:space="0" w:color="auto"/>
      </w:divBdr>
      <w:divsChild>
        <w:div w:id="140850269">
          <w:marLeft w:val="0"/>
          <w:marRight w:val="0"/>
          <w:marTop w:val="0"/>
          <w:marBottom w:val="0"/>
          <w:divBdr>
            <w:top w:val="none" w:sz="0" w:space="0" w:color="auto"/>
            <w:left w:val="none" w:sz="0" w:space="0" w:color="auto"/>
            <w:bottom w:val="none" w:sz="0" w:space="0" w:color="auto"/>
            <w:right w:val="none" w:sz="0" w:space="0" w:color="auto"/>
          </w:divBdr>
          <w:divsChild>
            <w:div w:id="1712996600">
              <w:marLeft w:val="0"/>
              <w:marRight w:val="0"/>
              <w:marTop w:val="0"/>
              <w:marBottom w:val="0"/>
              <w:divBdr>
                <w:top w:val="single" w:sz="6" w:space="8" w:color="AAAAAA"/>
                <w:left w:val="single" w:sz="6" w:space="8" w:color="AAAAAA"/>
                <w:bottom w:val="single" w:sz="6" w:space="8" w:color="AAAAAA"/>
                <w:right w:val="single" w:sz="6" w:space="8" w:color="AAAAAA"/>
              </w:divBdr>
              <w:divsChild>
                <w:div w:id="17249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841609">
      <w:bodyDiv w:val="1"/>
      <w:marLeft w:val="0"/>
      <w:marRight w:val="0"/>
      <w:marTop w:val="0"/>
      <w:marBottom w:val="0"/>
      <w:divBdr>
        <w:top w:val="none" w:sz="0" w:space="0" w:color="auto"/>
        <w:left w:val="none" w:sz="0" w:space="0" w:color="auto"/>
        <w:bottom w:val="none" w:sz="0" w:space="0" w:color="auto"/>
        <w:right w:val="none" w:sz="0" w:space="0" w:color="auto"/>
      </w:divBdr>
    </w:div>
    <w:div w:id="1994795408">
      <w:bodyDiv w:val="1"/>
      <w:marLeft w:val="0"/>
      <w:marRight w:val="0"/>
      <w:marTop w:val="0"/>
      <w:marBottom w:val="0"/>
      <w:divBdr>
        <w:top w:val="none" w:sz="0" w:space="0" w:color="auto"/>
        <w:left w:val="none" w:sz="0" w:space="0" w:color="auto"/>
        <w:bottom w:val="none" w:sz="0" w:space="0" w:color="auto"/>
        <w:right w:val="none" w:sz="0" w:space="0" w:color="auto"/>
      </w:divBdr>
    </w:div>
    <w:div w:id="2027752167">
      <w:bodyDiv w:val="1"/>
      <w:marLeft w:val="0"/>
      <w:marRight w:val="0"/>
      <w:marTop w:val="0"/>
      <w:marBottom w:val="0"/>
      <w:divBdr>
        <w:top w:val="none" w:sz="0" w:space="0" w:color="auto"/>
        <w:left w:val="none" w:sz="0" w:space="0" w:color="auto"/>
        <w:bottom w:val="none" w:sz="0" w:space="0" w:color="auto"/>
        <w:right w:val="none" w:sz="0" w:space="0" w:color="auto"/>
      </w:divBdr>
    </w:div>
    <w:div w:id="20559598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whpusr01\weira$\Personal\My%20Documents\EMI\EMR\Electricity%20market%20design\PPAs%20and%20access%20to%20market\Offtaker%20of%20last%20resort\Example%20revenues%20under%20CfD%20and%20backstop%20PPAs%20indexe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whpusr01\weira$\Personal\My%20Documents\EMI\EMR\Electricity%20market%20design\PPAs%20and%20access%20to%20market\Offtaker%20of%20last%20resort\Example%20revenues%20under%20CfD%20and%20backstop%20PPAs%20indexed.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whpusr01\weira$\Personal\My%20Documents\EMI\EMR\Electricity%20market%20design\PPAs%20and%20access%20to%20market\Offtaker%20of%20last%20resort\Example%20revenues%20under%20CfD%20and%20backstop%20PPAs%20indexed.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whpusr01\weira$\Personal\My%20Documents\EMI\EMR\Electricity%20market%20design\PPAs%20and%20access%20to%20market\Offtaker%20of%20last%20resort\Example%20revenues%20under%20CfD%20and%20backstop%20PPAs%20index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a:t>
            </a:r>
            <a:r>
              <a:rPr lang="en-US" baseline="0"/>
              <a:t> </a:t>
            </a:r>
            <a:r>
              <a:rPr lang="en-US"/>
              <a:t>Fixed bPPA discount</a:t>
            </a:r>
            <a:br>
              <a:rPr lang="en-US"/>
            </a:br>
            <a:r>
              <a:rPr lang="en-US" b="0"/>
              <a:t>(i)</a:t>
            </a:r>
            <a:r>
              <a:rPr lang="en-US" b="0" baseline="0"/>
              <a:t> </a:t>
            </a:r>
            <a:r>
              <a:rPr lang="en-US" b="0"/>
              <a:t>market revenue</a:t>
            </a:r>
          </a:p>
        </c:rich>
      </c:tx>
      <c:overlay val="0"/>
    </c:title>
    <c:autoTitleDeleted val="0"/>
    <c:plotArea>
      <c:layout/>
      <c:areaChart>
        <c:grouping val="stacked"/>
        <c:varyColors val="0"/>
        <c:ser>
          <c:idx val="4"/>
          <c:order val="1"/>
          <c:tx>
            <c:strRef>
              <c:f>'[Example revenues under CfD and backstop PPAs indexed.xlsx]Sheet1'!$T$9</c:f>
              <c:strCache>
                <c:ptCount val="1"/>
                <c:pt idx="0">
                  <c:v>Revenue net of expected RtM costs</c:v>
                </c:pt>
              </c:strCache>
            </c:strRef>
          </c:tx>
          <c:val>
            <c:numRef>
              <c:f>'[Example revenues under CfD and backstop PPAs indexed.xlsx]Sheet1'!$T$10:$T$24</c:f>
              <c:numCache>
                <c:formatCode>_(* #,##0.00_);_(* \(#,##0.00\);_(* "-"??_);_(@_)</c:formatCode>
                <c:ptCount val="15"/>
                <c:pt idx="0">
                  <c:v>48.226005068844493</c:v>
                </c:pt>
                <c:pt idx="1">
                  <c:v>54.253924960885278</c:v>
                </c:pt>
                <c:pt idx="2">
                  <c:v>56.333913530705544</c:v>
                </c:pt>
                <c:pt idx="3">
                  <c:v>56.649479414379208</c:v>
                </c:pt>
                <c:pt idx="4">
                  <c:v>57.596638230727464</c:v>
                </c:pt>
                <c:pt idx="5">
                  <c:v>56.495017693923337</c:v>
                </c:pt>
                <c:pt idx="6">
                  <c:v>56.387416781057645</c:v>
                </c:pt>
                <c:pt idx="7">
                  <c:v>58.362901260554416</c:v>
                </c:pt>
                <c:pt idx="8">
                  <c:v>60.089025443536045</c:v>
                </c:pt>
                <c:pt idx="9">
                  <c:v>60.671328511452664</c:v>
                </c:pt>
                <c:pt idx="10">
                  <c:v>60.389027904299233</c:v>
                </c:pt>
                <c:pt idx="11">
                  <c:v>61.181319657165481</c:v>
                </c:pt>
                <c:pt idx="12">
                  <c:v>61.489499283626046</c:v>
                </c:pt>
                <c:pt idx="13">
                  <c:v>64.417800464181667</c:v>
                </c:pt>
                <c:pt idx="14">
                  <c:v>63.888477878106187</c:v>
                </c:pt>
              </c:numCache>
            </c:numRef>
          </c:val>
        </c:ser>
        <c:ser>
          <c:idx val="1"/>
          <c:order val="2"/>
          <c:tx>
            <c:strRef>
              <c:f>'[Example revenues under CfD and backstop PPAs indexed.xlsx]Sheet1'!$S$9</c:f>
              <c:strCache>
                <c:ptCount val="1"/>
                <c:pt idx="0">
                  <c:v>Expected RtM costs</c:v>
                </c:pt>
              </c:strCache>
            </c:strRef>
          </c:tx>
          <c:spPr>
            <a:pattFill prst="pct20">
              <a:fgClr>
                <a:schemeClr val="accent1"/>
              </a:fgClr>
              <a:bgClr>
                <a:schemeClr val="bg1"/>
              </a:bgClr>
            </a:pattFill>
          </c:spPr>
          <c:val>
            <c:numRef>
              <c:f>'[Example revenues under CfD and backstop PPAs indexed.xlsx]Sheet1'!$S$10:$S$24</c:f>
              <c:numCache>
                <c:formatCode>0.00</c:formatCode>
                <c:ptCount val="15"/>
                <c:pt idx="0">
                  <c:v>4.2021858000000005</c:v>
                </c:pt>
                <c:pt idx="1">
                  <c:v>4.4726234999999992</c:v>
                </c:pt>
                <c:pt idx="2">
                  <c:v>4.7430611999999996</c:v>
                </c:pt>
                <c:pt idx="3">
                  <c:v>5.013498900000001</c:v>
                </c:pt>
                <c:pt idx="4">
                  <c:v>5.2839365999999997</c:v>
                </c:pt>
                <c:pt idx="5">
                  <c:v>5.9704322999999997</c:v>
                </c:pt>
                <c:pt idx="6">
                  <c:v>6.6569279999999997</c:v>
                </c:pt>
                <c:pt idx="7">
                  <c:v>7.343423699999998</c:v>
                </c:pt>
                <c:pt idx="8">
                  <c:v>8.0299194000000007</c:v>
                </c:pt>
                <c:pt idx="9">
                  <c:v>8.7164151000000007</c:v>
                </c:pt>
                <c:pt idx="10">
                  <c:v>9.3821079000000012</c:v>
                </c:pt>
                <c:pt idx="11">
                  <c:v>10.047800700000002</c:v>
                </c:pt>
                <c:pt idx="12">
                  <c:v>10.713493500000002</c:v>
                </c:pt>
                <c:pt idx="13">
                  <c:v>11.379186299999999</c:v>
                </c:pt>
                <c:pt idx="14">
                  <c:v>12.044879100000003</c:v>
                </c:pt>
              </c:numCache>
            </c:numRef>
          </c:val>
        </c:ser>
        <c:ser>
          <c:idx val="2"/>
          <c:order val="3"/>
          <c:tx>
            <c:strRef>
              <c:f>'[Example revenues under CfD and backstop PPAs indexed.xlsx]Sheet1'!$C$9</c:f>
              <c:strCache>
                <c:ptCount val="1"/>
                <c:pt idx="0">
                  <c:v>CfD top-up</c:v>
                </c:pt>
              </c:strCache>
            </c:strRef>
          </c:tx>
          <c:cat>
            <c:numRef>
              <c:f>'[Example revenues under CfD and backstop PPAs indexed.xlsx]Sheet1'!$A$10:$A$24</c:f>
              <c:numCache>
                <c:formatCode>General</c:formatCode>
                <c:ptCount val="15"/>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numCache>
            </c:numRef>
          </c:cat>
          <c:val>
            <c:numRef>
              <c:f>'[Example revenues under CfD and backstop PPAs indexed.xlsx]Sheet1'!$C$10:$C$24</c:f>
              <c:numCache>
                <c:formatCode>0.00</c:formatCode>
                <c:ptCount val="15"/>
                <c:pt idx="0">
                  <c:v>47.571809131155504</c:v>
                </c:pt>
                <c:pt idx="1">
                  <c:v>41.273451539114724</c:v>
                </c:pt>
                <c:pt idx="2">
                  <c:v>38.923025269294456</c:v>
                </c:pt>
                <c:pt idx="3">
                  <c:v>38.33702168562079</c:v>
                </c:pt>
                <c:pt idx="4">
                  <c:v>37.119425169272539</c:v>
                </c:pt>
                <c:pt idx="5">
                  <c:v>37.534550006076664</c:v>
                </c:pt>
                <c:pt idx="6">
                  <c:v>36.955655218942354</c:v>
                </c:pt>
                <c:pt idx="7">
                  <c:v>34.293675039445588</c:v>
                </c:pt>
                <c:pt idx="8">
                  <c:v>31.881055156463958</c:v>
                </c:pt>
                <c:pt idx="9">
                  <c:v>30.612256388547337</c:v>
                </c:pt>
                <c:pt idx="10">
                  <c:v>30.228864195700766</c:v>
                </c:pt>
                <c:pt idx="11">
                  <c:v>28.770879642834515</c:v>
                </c:pt>
                <c:pt idx="12">
                  <c:v>27.797007216373956</c:v>
                </c:pt>
                <c:pt idx="13">
                  <c:v>24.203013235818332</c:v>
                </c:pt>
                <c:pt idx="14">
                  <c:v>24.06664302189381</c:v>
                </c:pt>
              </c:numCache>
            </c:numRef>
          </c:val>
        </c:ser>
        <c:dLbls>
          <c:showLegendKey val="0"/>
          <c:showVal val="0"/>
          <c:showCatName val="0"/>
          <c:showSerName val="0"/>
          <c:showPercent val="0"/>
          <c:showBubbleSize val="0"/>
        </c:dLbls>
        <c:axId val="79391360"/>
        <c:axId val="79397248"/>
      </c:areaChart>
      <c:lineChart>
        <c:grouping val="standard"/>
        <c:varyColors val="0"/>
        <c:ser>
          <c:idx val="0"/>
          <c:order val="0"/>
          <c:tx>
            <c:strRef>
              <c:f>'[Example revenues under CfD and backstop PPAs indexed.xlsx]Sheet1'!$B$9</c:f>
              <c:strCache>
                <c:ptCount val="1"/>
                <c:pt idx="0">
                  <c:v>Strike price</c:v>
                </c:pt>
              </c:strCache>
            </c:strRef>
          </c:tx>
          <c:spPr>
            <a:ln w="34925"/>
          </c:spPr>
          <c:marker>
            <c:symbol val="none"/>
          </c:marker>
          <c:val>
            <c:numRef>
              <c:f>'[Example revenues under CfD and backstop PPAs indexed.xlsx]Sheet1'!$B$10:$B$24</c:f>
              <c:numCache>
                <c:formatCode>"£"#,##0.00</c:formatCode>
                <c:ptCount val="15"/>
                <c:pt idx="0">
                  <c:v>100</c:v>
                </c:pt>
                <c:pt idx="1">
                  <c:v>100</c:v>
                </c:pt>
                <c:pt idx="2">
                  <c:v>100</c:v>
                </c:pt>
                <c:pt idx="3">
                  <c:v>100</c:v>
                </c:pt>
                <c:pt idx="4">
                  <c:v>100</c:v>
                </c:pt>
                <c:pt idx="5">
                  <c:v>100</c:v>
                </c:pt>
                <c:pt idx="6">
                  <c:v>100</c:v>
                </c:pt>
                <c:pt idx="7">
                  <c:v>100</c:v>
                </c:pt>
                <c:pt idx="8">
                  <c:v>100</c:v>
                </c:pt>
                <c:pt idx="9">
                  <c:v>100</c:v>
                </c:pt>
                <c:pt idx="10">
                  <c:v>100</c:v>
                </c:pt>
                <c:pt idx="11">
                  <c:v>100</c:v>
                </c:pt>
                <c:pt idx="12">
                  <c:v>100</c:v>
                </c:pt>
                <c:pt idx="13">
                  <c:v>100</c:v>
                </c:pt>
                <c:pt idx="14">
                  <c:v>100</c:v>
                </c:pt>
              </c:numCache>
            </c:numRef>
          </c:val>
          <c:smooth val="0"/>
        </c:ser>
        <c:ser>
          <c:idx val="3"/>
          <c:order val="4"/>
          <c:tx>
            <c:strRef>
              <c:f>'[Example revenues under CfD and backstop PPAs indexed.xlsx]Sheet1'!$H$9</c:f>
              <c:strCache>
                <c:ptCount val="1"/>
                <c:pt idx="0">
                  <c:v>Wholesale price</c:v>
                </c:pt>
              </c:strCache>
            </c:strRef>
          </c:tx>
          <c:spPr>
            <a:ln w="47625">
              <a:solidFill>
                <a:srgbClr val="FF0000"/>
              </a:solidFill>
            </a:ln>
          </c:spPr>
          <c:marker>
            <c:symbol val="none"/>
          </c:marker>
          <c:val>
            <c:numRef>
              <c:f>'[Example revenues under CfD and backstop PPAs indexed.xlsx]Sheet1'!$H$10:$H$24</c:f>
              <c:numCache>
                <c:formatCode>_(* #,##0.00_);_(* \(#,##0.00\);_(* "-"??_);_(@_)</c:formatCode>
                <c:ptCount val="15"/>
                <c:pt idx="0">
                  <c:v>52.428190868844496</c:v>
                </c:pt>
                <c:pt idx="1">
                  <c:v>58.726548460885276</c:v>
                </c:pt>
                <c:pt idx="2">
                  <c:v>61.076974730705544</c:v>
                </c:pt>
                <c:pt idx="3">
                  <c:v>61.66297831437921</c:v>
                </c:pt>
                <c:pt idx="4">
                  <c:v>62.880574830727461</c:v>
                </c:pt>
                <c:pt idx="5">
                  <c:v>62.465449993923336</c:v>
                </c:pt>
                <c:pt idx="6">
                  <c:v>63.044344781057646</c:v>
                </c:pt>
                <c:pt idx="7">
                  <c:v>65.706324960554412</c:v>
                </c:pt>
                <c:pt idx="8">
                  <c:v>68.118944843536042</c:v>
                </c:pt>
                <c:pt idx="9">
                  <c:v>69.387743611452663</c:v>
                </c:pt>
                <c:pt idx="10">
                  <c:v>69.771135804299234</c:v>
                </c:pt>
                <c:pt idx="11">
                  <c:v>71.229120357165485</c:v>
                </c:pt>
                <c:pt idx="12">
                  <c:v>72.202992783626044</c:v>
                </c:pt>
                <c:pt idx="13">
                  <c:v>75.796986764181668</c:v>
                </c:pt>
                <c:pt idx="14">
                  <c:v>75.93335697810619</c:v>
                </c:pt>
              </c:numCache>
            </c:numRef>
          </c:val>
          <c:smooth val="0"/>
        </c:ser>
        <c:ser>
          <c:idx val="5"/>
          <c:order val="5"/>
          <c:tx>
            <c:strRef>
              <c:f>'[Example revenues under CfD and backstop PPAs indexed.xlsx]Sheet1'!$I$9</c:f>
              <c:strCache>
                <c:ptCount val="1"/>
                <c:pt idx="0">
                  <c:v>Revenue under bPPA</c:v>
                </c:pt>
              </c:strCache>
            </c:strRef>
          </c:tx>
          <c:marker>
            <c:symbol val="none"/>
          </c:marker>
          <c:val>
            <c:numRef>
              <c:f>'[Example revenues under CfD and backstop PPAs indexed.xlsx]Sheet1'!$I$10:$I$24</c:f>
              <c:numCache>
                <c:formatCode>0.00</c:formatCode>
                <c:ptCount val="15"/>
                <c:pt idx="0">
                  <c:v>32.428190868844496</c:v>
                </c:pt>
                <c:pt idx="1">
                  <c:v>38.726548460885276</c:v>
                </c:pt>
                <c:pt idx="2">
                  <c:v>41.076974730705544</c:v>
                </c:pt>
                <c:pt idx="3">
                  <c:v>41.66297831437921</c:v>
                </c:pt>
                <c:pt idx="4">
                  <c:v>42.880574830727461</c:v>
                </c:pt>
                <c:pt idx="5">
                  <c:v>42.465449993923336</c:v>
                </c:pt>
                <c:pt idx="6">
                  <c:v>43.044344781057646</c:v>
                </c:pt>
                <c:pt idx="7">
                  <c:v>45.706324960554412</c:v>
                </c:pt>
                <c:pt idx="8">
                  <c:v>48.118944843536042</c:v>
                </c:pt>
                <c:pt idx="9">
                  <c:v>49.387743611452663</c:v>
                </c:pt>
                <c:pt idx="10">
                  <c:v>49.771135804299234</c:v>
                </c:pt>
                <c:pt idx="11">
                  <c:v>51.229120357165485</c:v>
                </c:pt>
                <c:pt idx="12">
                  <c:v>52.202992783626044</c:v>
                </c:pt>
                <c:pt idx="13">
                  <c:v>55.796986764181668</c:v>
                </c:pt>
                <c:pt idx="14">
                  <c:v>55.93335697810619</c:v>
                </c:pt>
              </c:numCache>
            </c:numRef>
          </c:val>
          <c:smooth val="0"/>
        </c:ser>
        <c:dLbls>
          <c:showLegendKey val="0"/>
          <c:showVal val="0"/>
          <c:showCatName val="0"/>
          <c:showSerName val="0"/>
          <c:showPercent val="0"/>
          <c:showBubbleSize val="0"/>
        </c:dLbls>
        <c:marker val="1"/>
        <c:smooth val="0"/>
        <c:axId val="79400320"/>
        <c:axId val="79398784"/>
      </c:lineChart>
      <c:catAx>
        <c:axId val="79391360"/>
        <c:scaling>
          <c:orientation val="minMax"/>
        </c:scaling>
        <c:delete val="0"/>
        <c:axPos val="b"/>
        <c:numFmt formatCode="General" sourceLinked="1"/>
        <c:majorTickMark val="out"/>
        <c:minorTickMark val="none"/>
        <c:tickLblPos val="nextTo"/>
        <c:crossAx val="79397248"/>
        <c:crosses val="autoZero"/>
        <c:auto val="1"/>
        <c:lblAlgn val="ctr"/>
        <c:lblOffset val="100"/>
        <c:noMultiLvlLbl val="0"/>
      </c:catAx>
      <c:valAx>
        <c:axId val="79397248"/>
        <c:scaling>
          <c:orientation val="minMax"/>
          <c:max val="100"/>
        </c:scaling>
        <c:delete val="0"/>
        <c:axPos val="l"/>
        <c:numFmt formatCode="0" sourceLinked="0"/>
        <c:majorTickMark val="out"/>
        <c:minorTickMark val="none"/>
        <c:tickLblPos val="nextTo"/>
        <c:crossAx val="79391360"/>
        <c:crosses val="autoZero"/>
        <c:crossBetween val="between"/>
        <c:majorUnit val="20"/>
      </c:valAx>
      <c:valAx>
        <c:axId val="79398784"/>
        <c:scaling>
          <c:orientation val="minMax"/>
        </c:scaling>
        <c:delete val="1"/>
        <c:axPos val="r"/>
        <c:numFmt formatCode="&quot;£&quot;#,##0.00" sourceLinked="1"/>
        <c:majorTickMark val="out"/>
        <c:minorTickMark val="none"/>
        <c:tickLblPos val="nextTo"/>
        <c:crossAx val="79400320"/>
        <c:crosses val="max"/>
        <c:crossBetween val="between"/>
      </c:valAx>
      <c:catAx>
        <c:axId val="79400320"/>
        <c:scaling>
          <c:orientation val="minMax"/>
        </c:scaling>
        <c:delete val="1"/>
        <c:axPos val="b"/>
        <c:majorTickMark val="out"/>
        <c:minorTickMark val="none"/>
        <c:tickLblPos val="nextTo"/>
        <c:crossAx val="79398784"/>
        <c:crosses val="autoZero"/>
        <c:auto val="1"/>
        <c:lblAlgn val="ctr"/>
        <c:lblOffset val="100"/>
        <c:noMultiLvlLbl val="0"/>
      </c:catAx>
    </c:plotArea>
    <c:plotVisOnly val="1"/>
    <c:dispBlanksAs val="zero"/>
    <c:showDLblsOverMax val="0"/>
  </c:chart>
  <c:spPr>
    <a:ln>
      <a:noFill/>
    </a:ln>
  </c:spPr>
  <c:txPr>
    <a:bodyPr/>
    <a:lstStyle/>
    <a:p>
      <a:pPr>
        <a:defRPr sz="9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(b) Increasing bPPA discount</a:t>
            </a:r>
            <a:br>
              <a:rPr lang="en-US"/>
            </a:br>
            <a:r>
              <a:rPr lang="en-US" b="0"/>
              <a:t>(i) market</a:t>
            </a:r>
            <a:r>
              <a:rPr lang="en-US" b="0" baseline="0"/>
              <a:t> </a:t>
            </a:r>
            <a:r>
              <a:rPr lang="en-US" b="0"/>
              <a:t>revenue</a:t>
            </a:r>
          </a:p>
        </c:rich>
      </c:tx>
      <c:layout>
        <c:manualLayout>
          <c:xMode val="edge"/>
          <c:yMode val="edge"/>
          <c:x val="0.11477667855620613"/>
          <c:y val="3.4032898468519569E-2"/>
        </c:manualLayout>
      </c:layout>
      <c:overlay val="0"/>
    </c:title>
    <c:autoTitleDeleted val="0"/>
    <c:plotArea>
      <c:layout/>
      <c:areaChart>
        <c:grouping val="stacked"/>
        <c:varyColors val="0"/>
        <c:ser>
          <c:idx val="4"/>
          <c:order val="0"/>
          <c:tx>
            <c:strRef>
              <c:f>Sheet1!$T$9</c:f>
              <c:strCache>
                <c:ptCount val="1"/>
                <c:pt idx="0">
                  <c:v>Revenue net of RtM costs</c:v>
                </c:pt>
              </c:strCache>
            </c:strRef>
          </c:tx>
          <c:val>
            <c:numRef>
              <c:f>Sheet1!$T$10:$T$24</c:f>
              <c:numCache>
                <c:formatCode>_(* #,##0.00_);_(* \(#,##0.00\);_(* "-"??_);_(@_)</c:formatCode>
                <c:ptCount val="15"/>
                <c:pt idx="0">
                  <c:v>48.226005068844493</c:v>
                </c:pt>
                <c:pt idx="1">
                  <c:v>54.253924960885278</c:v>
                </c:pt>
                <c:pt idx="2">
                  <c:v>56.333913530705544</c:v>
                </c:pt>
                <c:pt idx="3">
                  <c:v>56.649479414379208</c:v>
                </c:pt>
                <c:pt idx="4">
                  <c:v>57.596638230727464</c:v>
                </c:pt>
                <c:pt idx="5">
                  <c:v>56.495017693923337</c:v>
                </c:pt>
                <c:pt idx="6">
                  <c:v>56.387416781057645</c:v>
                </c:pt>
                <c:pt idx="7">
                  <c:v>58.362901260554416</c:v>
                </c:pt>
                <c:pt idx="8">
                  <c:v>60.089025443536045</c:v>
                </c:pt>
                <c:pt idx="9">
                  <c:v>60.671328511452664</c:v>
                </c:pt>
                <c:pt idx="10">
                  <c:v>60.389027904299233</c:v>
                </c:pt>
                <c:pt idx="11">
                  <c:v>61.181319657165481</c:v>
                </c:pt>
                <c:pt idx="12">
                  <c:v>61.489499283626046</c:v>
                </c:pt>
                <c:pt idx="13">
                  <c:v>64.417800464181667</c:v>
                </c:pt>
                <c:pt idx="14">
                  <c:v>63.888477878106187</c:v>
                </c:pt>
              </c:numCache>
            </c:numRef>
          </c:val>
        </c:ser>
        <c:ser>
          <c:idx val="1"/>
          <c:order val="1"/>
          <c:tx>
            <c:strRef>
              <c:f>Sheet1!$S$9</c:f>
              <c:strCache>
                <c:ptCount val="1"/>
                <c:pt idx="0">
                  <c:v>Expected RtM costs</c:v>
                </c:pt>
              </c:strCache>
            </c:strRef>
          </c:tx>
          <c:spPr>
            <a:pattFill prst="pct20">
              <a:fgClr>
                <a:schemeClr val="accent1"/>
              </a:fgClr>
              <a:bgClr>
                <a:schemeClr val="bg1"/>
              </a:bgClr>
            </a:pattFill>
          </c:spPr>
          <c:val>
            <c:numRef>
              <c:f>Sheet1!$S$10:$S$24</c:f>
              <c:numCache>
                <c:formatCode>0.00</c:formatCode>
                <c:ptCount val="15"/>
                <c:pt idx="0">
                  <c:v>4.2021858000000005</c:v>
                </c:pt>
                <c:pt idx="1">
                  <c:v>4.4726234999999992</c:v>
                </c:pt>
                <c:pt idx="2">
                  <c:v>4.7430611999999996</c:v>
                </c:pt>
                <c:pt idx="3">
                  <c:v>5.013498900000001</c:v>
                </c:pt>
                <c:pt idx="4">
                  <c:v>5.2839365999999997</c:v>
                </c:pt>
                <c:pt idx="5">
                  <c:v>5.9704322999999997</c:v>
                </c:pt>
                <c:pt idx="6">
                  <c:v>6.6569279999999997</c:v>
                </c:pt>
                <c:pt idx="7">
                  <c:v>7.343423699999998</c:v>
                </c:pt>
                <c:pt idx="8">
                  <c:v>8.0299194000000007</c:v>
                </c:pt>
                <c:pt idx="9">
                  <c:v>8.7164151000000007</c:v>
                </c:pt>
                <c:pt idx="10">
                  <c:v>9.3821079000000012</c:v>
                </c:pt>
                <c:pt idx="11">
                  <c:v>10.047800700000002</c:v>
                </c:pt>
                <c:pt idx="12">
                  <c:v>10.713493500000002</c:v>
                </c:pt>
                <c:pt idx="13">
                  <c:v>11.379186299999999</c:v>
                </c:pt>
                <c:pt idx="14">
                  <c:v>12.044879100000003</c:v>
                </c:pt>
              </c:numCache>
            </c:numRef>
          </c:val>
        </c:ser>
        <c:ser>
          <c:idx val="2"/>
          <c:order val="2"/>
          <c:tx>
            <c:strRef>
              <c:f>Sheet1!$C$9</c:f>
              <c:strCache>
                <c:ptCount val="1"/>
                <c:pt idx="0">
                  <c:v>CfD top-up</c:v>
                </c:pt>
              </c:strCache>
            </c:strRef>
          </c:tx>
          <c:cat>
            <c:numRef>
              <c:f>Sheet1!$A$10:$A$24</c:f>
              <c:numCache>
                <c:formatCode>General</c:formatCode>
                <c:ptCount val="15"/>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numCache>
            </c:numRef>
          </c:cat>
          <c:val>
            <c:numRef>
              <c:f>Sheet1!$C$10:$C$24</c:f>
              <c:numCache>
                <c:formatCode>0.00</c:formatCode>
                <c:ptCount val="15"/>
                <c:pt idx="0">
                  <c:v>47.571809131155504</c:v>
                </c:pt>
                <c:pt idx="1">
                  <c:v>41.273451539114724</c:v>
                </c:pt>
                <c:pt idx="2">
                  <c:v>38.923025269294456</c:v>
                </c:pt>
                <c:pt idx="3">
                  <c:v>38.33702168562079</c:v>
                </c:pt>
                <c:pt idx="4">
                  <c:v>37.119425169272539</c:v>
                </c:pt>
                <c:pt idx="5">
                  <c:v>37.534550006076664</c:v>
                </c:pt>
                <c:pt idx="6">
                  <c:v>36.955655218942354</c:v>
                </c:pt>
                <c:pt idx="7">
                  <c:v>34.293675039445588</c:v>
                </c:pt>
                <c:pt idx="8">
                  <c:v>31.881055156463958</c:v>
                </c:pt>
                <c:pt idx="9">
                  <c:v>30.612256388547337</c:v>
                </c:pt>
                <c:pt idx="10">
                  <c:v>30.228864195700766</c:v>
                </c:pt>
                <c:pt idx="11">
                  <c:v>28.770879642834515</c:v>
                </c:pt>
                <c:pt idx="12">
                  <c:v>27.797007216373956</c:v>
                </c:pt>
                <c:pt idx="13">
                  <c:v>24.203013235818332</c:v>
                </c:pt>
                <c:pt idx="14">
                  <c:v>24.06664302189381</c:v>
                </c:pt>
              </c:numCache>
            </c:numRef>
          </c:val>
        </c:ser>
        <c:dLbls>
          <c:showLegendKey val="0"/>
          <c:showVal val="0"/>
          <c:showCatName val="0"/>
          <c:showSerName val="0"/>
          <c:showPercent val="0"/>
          <c:showBubbleSize val="0"/>
        </c:dLbls>
        <c:axId val="79828096"/>
        <c:axId val="79829632"/>
      </c:areaChart>
      <c:lineChart>
        <c:grouping val="standard"/>
        <c:varyColors val="0"/>
        <c:ser>
          <c:idx val="0"/>
          <c:order val="3"/>
          <c:tx>
            <c:strRef>
              <c:f>Sheet1!$B$9</c:f>
              <c:strCache>
                <c:ptCount val="1"/>
                <c:pt idx="0">
                  <c:v>Strike price</c:v>
                </c:pt>
              </c:strCache>
            </c:strRef>
          </c:tx>
          <c:spPr>
            <a:ln w="34925"/>
          </c:spPr>
          <c:marker>
            <c:symbol val="none"/>
          </c:marker>
          <c:val>
            <c:numRef>
              <c:f>Sheet1!$B$10:$B$24</c:f>
              <c:numCache>
                <c:formatCode>"£"#,##0.00</c:formatCode>
                <c:ptCount val="15"/>
                <c:pt idx="0">
                  <c:v>100</c:v>
                </c:pt>
                <c:pt idx="1">
                  <c:v>100</c:v>
                </c:pt>
                <c:pt idx="2">
                  <c:v>100</c:v>
                </c:pt>
                <c:pt idx="3">
                  <c:v>100</c:v>
                </c:pt>
                <c:pt idx="4">
                  <c:v>100</c:v>
                </c:pt>
                <c:pt idx="5">
                  <c:v>100</c:v>
                </c:pt>
                <c:pt idx="6">
                  <c:v>100</c:v>
                </c:pt>
                <c:pt idx="7">
                  <c:v>100</c:v>
                </c:pt>
                <c:pt idx="8">
                  <c:v>100</c:v>
                </c:pt>
                <c:pt idx="9">
                  <c:v>100</c:v>
                </c:pt>
                <c:pt idx="10">
                  <c:v>100</c:v>
                </c:pt>
                <c:pt idx="11">
                  <c:v>100</c:v>
                </c:pt>
                <c:pt idx="12">
                  <c:v>100</c:v>
                </c:pt>
                <c:pt idx="13">
                  <c:v>100</c:v>
                </c:pt>
                <c:pt idx="14">
                  <c:v>100</c:v>
                </c:pt>
              </c:numCache>
            </c:numRef>
          </c:val>
          <c:smooth val="0"/>
        </c:ser>
        <c:ser>
          <c:idx val="3"/>
          <c:order val="4"/>
          <c:tx>
            <c:strRef>
              <c:f>Sheet1!$H$9</c:f>
              <c:strCache>
                <c:ptCount val="1"/>
                <c:pt idx="0">
                  <c:v>Wholesale price</c:v>
                </c:pt>
              </c:strCache>
            </c:strRef>
          </c:tx>
          <c:spPr>
            <a:ln w="47625">
              <a:solidFill>
                <a:srgbClr val="FF0000"/>
              </a:solidFill>
            </a:ln>
          </c:spPr>
          <c:marker>
            <c:symbol val="none"/>
          </c:marker>
          <c:val>
            <c:numRef>
              <c:f>Sheet1!$H$10:$H$24</c:f>
              <c:numCache>
                <c:formatCode>_(* #,##0.00_);_(* \(#,##0.00\);_(* "-"??_);_(@_)</c:formatCode>
                <c:ptCount val="15"/>
                <c:pt idx="0">
                  <c:v>52.428190868844496</c:v>
                </c:pt>
                <c:pt idx="1">
                  <c:v>58.726548460885276</c:v>
                </c:pt>
                <c:pt idx="2">
                  <c:v>61.076974730705544</c:v>
                </c:pt>
                <c:pt idx="3">
                  <c:v>61.66297831437921</c:v>
                </c:pt>
                <c:pt idx="4">
                  <c:v>62.880574830727461</c:v>
                </c:pt>
                <c:pt idx="5">
                  <c:v>62.465449993923336</c:v>
                </c:pt>
                <c:pt idx="6">
                  <c:v>63.044344781057646</c:v>
                </c:pt>
                <c:pt idx="7">
                  <c:v>65.706324960554412</c:v>
                </c:pt>
                <c:pt idx="8">
                  <c:v>68.118944843536042</c:v>
                </c:pt>
                <c:pt idx="9">
                  <c:v>69.387743611452663</c:v>
                </c:pt>
                <c:pt idx="10">
                  <c:v>69.771135804299234</c:v>
                </c:pt>
                <c:pt idx="11">
                  <c:v>71.229120357165485</c:v>
                </c:pt>
                <c:pt idx="12">
                  <c:v>72.202992783626044</c:v>
                </c:pt>
                <c:pt idx="13">
                  <c:v>75.796986764181668</c:v>
                </c:pt>
                <c:pt idx="14">
                  <c:v>75.93335697810619</c:v>
                </c:pt>
              </c:numCache>
            </c:numRef>
          </c:val>
          <c:smooth val="0"/>
        </c:ser>
        <c:ser>
          <c:idx val="5"/>
          <c:order val="5"/>
          <c:tx>
            <c:strRef>
              <c:f>Sheet1!$J$9</c:f>
              <c:strCache>
                <c:ptCount val="1"/>
                <c:pt idx="0">
                  <c:v>Revenue under bPPA</c:v>
                </c:pt>
              </c:strCache>
            </c:strRef>
          </c:tx>
          <c:marker>
            <c:symbol val="none"/>
          </c:marker>
          <c:val>
            <c:numRef>
              <c:f>Sheet1!$J$10:$J$24</c:f>
              <c:numCache>
                <c:formatCode>0.00</c:formatCode>
                <c:ptCount val="15"/>
                <c:pt idx="0">
                  <c:v>38.226005068844493</c:v>
                </c:pt>
                <c:pt idx="1">
                  <c:v>44.253924960885278</c:v>
                </c:pt>
                <c:pt idx="2">
                  <c:v>46.333913530705544</c:v>
                </c:pt>
                <c:pt idx="3">
                  <c:v>46.649479414379208</c:v>
                </c:pt>
                <c:pt idx="4">
                  <c:v>47.596638230727464</c:v>
                </c:pt>
                <c:pt idx="5">
                  <c:v>46.495017693923337</c:v>
                </c:pt>
                <c:pt idx="6">
                  <c:v>46.387416781057645</c:v>
                </c:pt>
                <c:pt idx="7">
                  <c:v>48.362901260554409</c:v>
                </c:pt>
                <c:pt idx="8">
                  <c:v>50.089025443536045</c:v>
                </c:pt>
                <c:pt idx="9">
                  <c:v>50.671328511452664</c:v>
                </c:pt>
                <c:pt idx="10">
                  <c:v>50.389027904299233</c:v>
                </c:pt>
                <c:pt idx="11">
                  <c:v>51.181319657165481</c:v>
                </c:pt>
                <c:pt idx="12">
                  <c:v>51.489499283626046</c:v>
                </c:pt>
                <c:pt idx="13">
                  <c:v>54.417800464181667</c:v>
                </c:pt>
                <c:pt idx="14">
                  <c:v>53.888477878106187</c:v>
                </c:pt>
              </c:numCache>
            </c:numRef>
          </c:val>
          <c:smooth val="0"/>
        </c:ser>
        <c:dLbls>
          <c:showLegendKey val="0"/>
          <c:showVal val="0"/>
          <c:showCatName val="0"/>
          <c:showSerName val="0"/>
          <c:showPercent val="0"/>
          <c:showBubbleSize val="0"/>
        </c:dLbls>
        <c:marker val="1"/>
        <c:smooth val="0"/>
        <c:axId val="79841152"/>
        <c:axId val="79839616"/>
      </c:lineChart>
      <c:catAx>
        <c:axId val="79828096"/>
        <c:scaling>
          <c:orientation val="minMax"/>
        </c:scaling>
        <c:delete val="0"/>
        <c:axPos val="b"/>
        <c:numFmt formatCode="General" sourceLinked="1"/>
        <c:majorTickMark val="out"/>
        <c:minorTickMark val="none"/>
        <c:tickLblPos val="nextTo"/>
        <c:crossAx val="79829632"/>
        <c:crosses val="autoZero"/>
        <c:auto val="1"/>
        <c:lblAlgn val="ctr"/>
        <c:lblOffset val="100"/>
        <c:noMultiLvlLbl val="0"/>
      </c:catAx>
      <c:valAx>
        <c:axId val="79829632"/>
        <c:scaling>
          <c:orientation val="minMax"/>
          <c:max val="100"/>
        </c:scaling>
        <c:delete val="0"/>
        <c:axPos val="l"/>
        <c:numFmt formatCode="0" sourceLinked="0"/>
        <c:majorTickMark val="out"/>
        <c:minorTickMark val="none"/>
        <c:tickLblPos val="nextTo"/>
        <c:crossAx val="79828096"/>
        <c:crosses val="autoZero"/>
        <c:crossBetween val="between"/>
        <c:majorUnit val="20"/>
      </c:valAx>
      <c:valAx>
        <c:axId val="79839616"/>
        <c:scaling>
          <c:orientation val="minMax"/>
        </c:scaling>
        <c:delete val="1"/>
        <c:axPos val="r"/>
        <c:numFmt formatCode="&quot;£&quot;#,##0.00" sourceLinked="1"/>
        <c:majorTickMark val="out"/>
        <c:minorTickMark val="none"/>
        <c:tickLblPos val="nextTo"/>
        <c:crossAx val="79841152"/>
        <c:crosses val="max"/>
        <c:crossBetween val="between"/>
      </c:valAx>
      <c:catAx>
        <c:axId val="79841152"/>
        <c:scaling>
          <c:orientation val="minMax"/>
        </c:scaling>
        <c:delete val="1"/>
        <c:axPos val="b"/>
        <c:majorTickMark val="out"/>
        <c:minorTickMark val="none"/>
        <c:tickLblPos val="nextTo"/>
        <c:crossAx val="79839616"/>
        <c:crosses val="autoZero"/>
        <c:auto val="1"/>
        <c:lblAlgn val="ctr"/>
        <c:lblOffset val="100"/>
        <c:noMultiLvlLbl val="0"/>
      </c:catAx>
    </c:plotArea>
    <c:legend>
      <c:legendPos val="r"/>
      <c:layout>
        <c:manualLayout>
          <c:xMode val="edge"/>
          <c:yMode val="edge"/>
          <c:x val="0.59865042510711797"/>
          <c:y val="0.29856694130076389"/>
          <c:w val="0.37855755210085917"/>
          <c:h val="0.53282582920378196"/>
        </c:manualLayout>
      </c:layout>
      <c:overlay val="0"/>
      <c:txPr>
        <a:bodyPr/>
        <a:lstStyle/>
        <a:p>
          <a:pPr>
            <a:defRPr sz="800"/>
          </a:pPr>
          <a:endParaRPr lang="en-US"/>
        </a:p>
      </c:txPr>
    </c:legend>
    <c:plotVisOnly val="1"/>
    <c:dispBlanksAs val="zero"/>
    <c:showDLblsOverMax val="0"/>
  </c:chart>
  <c:spPr>
    <a:ln>
      <a:noFill/>
    </a:ln>
  </c:spPr>
  <c:txPr>
    <a:bodyPr/>
    <a:lstStyle/>
    <a:p>
      <a:pPr>
        <a:defRPr sz="900"/>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80"/>
            </a:pPr>
            <a:r>
              <a:rPr lang="en-GB" sz="1080" b="0"/>
              <a:t>(ii) revenue under OLR</a:t>
            </a:r>
          </a:p>
        </c:rich>
      </c:tx>
      <c:overlay val="0"/>
    </c:title>
    <c:autoTitleDeleted val="0"/>
    <c:plotArea>
      <c:layout/>
      <c:areaChart>
        <c:grouping val="stacked"/>
        <c:varyColors val="0"/>
        <c:ser>
          <c:idx val="5"/>
          <c:order val="1"/>
          <c:tx>
            <c:strRef>
              <c:f>'[Example revenues under CfD and backstop PPAs indexed.xlsx]Sheet1'!$I$9</c:f>
              <c:strCache>
                <c:ptCount val="1"/>
                <c:pt idx="0">
                  <c:v>Revenue under bPPA</c:v>
                </c:pt>
              </c:strCache>
            </c:strRef>
          </c:tx>
          <c:val>
            <c:numRef>
              <c:f>'[Example revenues under CfD and backstop PPAs indexed.xlsx]Sheet1'!$I$10:$I$24</c:f>
              <c:numCache>
                <c:formatCode>0.00</c:formatCode>
                <c:ptCount val="15"/>
                <c:pt idx="0">
                  <c:v>32.428190868844496</c:v>
                </c:pt>
                <c:pt idx="1">
                  <c:v>38.726548460885276</c:v>
                </c:pt>
                <c:pt idx="2">
                  <c:v>41.076974730705544</c:v>
                </c:pt>
                <c:pt idx="3">
                  <c:v>41.66297831437921</c:v>
                </c:pt>
                <c:pt idx="4">
                  <c:v>42.880574830727461</c:v>
                </c:pt>
                <c:pt idx="5">
                  <c:v>42.465449993923336</c:v>
                </c:pt>
                <c:pt idx="6">
                  <c:v>43.044344781057646</c:v>
                </c:pt>
                <c:pt idx="7">
                  <c:v>45.706324960554412</c:v>
                </c:pt>
                <c:pt idx="8">
                  <c:v>48.118944843536042</c:v>
                </c:pt>
                <c:pt idx="9">
                  <c:v>49.387743611452663</c:v>
                </c:pt>
                <c:pt idx="10">
                  <c:v>49.771135804299234</c:v>
                </c:pt>
                <c:pt idx="11">
                  <c:v>51.229120357165485</c:v>
                </c:pt>
                <c:pt idx="12">
                  <c:v>52.202992783626044</c:v>
                </c:pt>
                <c:pt idx="13">
                  <c:v>55.796986764181668</c:v>
                </c:pt>
                <c:pt idx="14">
                  <c:v>55.93335697810619</c:v>
                </c:pt>
              </c:numCache>
            </c:numRef>
          </c:val>
        </c:ser>
        <c:ser>
          <c:idx val="2"/>
          <c:order val="2"/>
          <c:tx>
            <c:strRef>
              <c:f>'[Example revenues under CfD and backstop PPAs indexed.xlsx]Sheet1'!$C$9</c:f>
              <c:strCache>
                <c:ptCount val="1"/>
                <c:pt idx="0">
                  <c:v>CfD top-up</c:v>
                </c:pt>
              </c:strCache>
            </c:strRef>
          </c:tx>
          <c:cat>
            <c:numRef>
              <c:f>'[Example revenues under CfD and backstop PPAs indexed.xlsx]Sheet1'!$A$10:$A$24</c:f>
              <c:numCache>
                <c:formatCode>General</c:formatCode>
                <c:ptCount val="15"/>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numCache>
            </c:numRef>
          </c:cat>
          <c:val>
            <c:numRef>
              <c:f>'[Example revenues under CfD and backstop PPAs indexed.xlsx]Sheet1'!$C$10:$C$24</c:f>
              <c:numCache>
                <c:formatCode>0.00</c:formatCode>
                <c:ptCount val="15"/>
                <c:pt idx="0">
                  <c:v>47.571809131155504</c:v>
                </c:pt>
                <c:pt idx="1">
                  <c:v>41.273451539114724</c:v>
                </c:pt>
                <c:pt idx="2">
                  <c:v>38.923025269294456</c:v>
                </c:pt>
                <c:pt idx="3">
                  <c:v>38.33702168562079</c:v>
                </c:pt>
                <c:pt idx="4">
                  <c:v>37.119425169272539</c:v>
                </c:pt>
                <c:pt idx="5">
                  <c:v>37.534550006076664</c:v>
                </c:pt>
                <c:pt idx="6">
                  <c:v>36.955655218942354</c:v>
                </c:pt>
                <c:pt idx="7">
                  <c:v>34.293675039445588</c:v>
                </c:pt>
                <c:pt idx="8">
                  <c:v>31.881055156463958</c:v>
                </c:pt>
                <c:pt idx="9">
                  <c:v>30.612256388547337</c:v>
                </c:pt>
                <c:pt idx="10">
                  <c:v>30.228864195700766</c:v>
                </c:pt>
                <c:pt idx="11">
                  <c:v>28.770879642834515</c:v>
                </c:pt>
                <c:pt idx="12">
                  <c:v>27.797007216373956</c:v>
                </c:pt>
                <c:pt idx="13">
                  <c:v>24.203013235818332</c:v>
                </c:pt>
                <c:pt idx="14">
                  <c:v>24.06664302189381</c:v>
                </c:pt>
              </c:numCache>
            </c:numRef>
          </c:val>
        </c:ser>
        <c:dLbls>
          <c:showLegendKey val="0"/>
          <c:showVal val="0"/>
          <c:showCatName val="0"/>
          <c:showSerName val="0"/>
          <c:showPercent val="0"/>
          <c:showBubbleSize val="0"/>
        </c:dLbls>
        <c:axId val="79864960"/>
        <c:axId val="79866496"/>
      </c:areaChart>
      <c:lineChart>
        <c:grouping val="standard"/>
        <c:varyColors val="0"/>
        <c:ser>
          <c:idx val="0"/>
          <c:order val="0"/>
          <c:tx>
            <c:strRef>
              <c:f>'[Example revenues under CfD and backstop PPAs indexed.xlsx]Sheet1'!$B$9</c:f>
              <c:strCache>
                <c:ptCount val="1"/>
                <c:pt idx="0">
                  <c:v>Strike price</c:v>
                </c:pt>
              </c:strCache>
            </c:strRef>
          </c:tx>
          <c:spPr>
            <a:ln w="34925"/>
          </c:spPr>
          <c:marker>
            <c:symbol val="none"/>
          </c:marker>
          <c:val>
            <c:numRef>
              <c:f>'[Example revenues under CfD and backstop PPAs indexed.xlsx]Sheet1'!$B$10:$B$24</c:f>
              <c:numCache>
                <c:formatCode>"£"#,##0.00</c:formatCode>
                <c:ptCount val="15"/>
                <c:pt idx="0">
                  <c:v>100</c:v>
                </c:pt>
                <c:pt idx="1">
                  <c:v>100</c:v>
                </c:pt>
                <c:pt idx="2">
                  <c:v>100</c:v>
                </c:pt>
                <c:pt idx="3">
                  <c:v>100</c:v>
                </c:pt>
                <c:pt idx="4">
                  <c:v>100</c:v>
                </c:pt>
                <c:pt idx="5">
                  <c:v>100</c:v>
                </c:pt>
                <c:pt idx="6">
                  <c:v>100</c:v>
                </c:pt>
                <c:pt idx="7">
                  <c:v>100</c:v>
                </c:pt>
                <c:pt idx="8">
                  <c:v>100</c:v>
                </c:pt>
                <c:pt idx="9">
                  <c:v>100</c:v>
                </c:pt>
                <c:pt idx="10">
                  <c:v>100</c:v>
                </c:pt>
                <c:pt idx="11">
                  <c:v>100</c:v>
                </c:pt>
                <c:pt idx="12">
                  <c:v>100</c:v>
                </c:pt>
                <c:pt idx="13">
                  <c:v>100</c:v>
                </c:pt>
                <c:pt idx="14">
                  <c:v>100</c:v>
                </c:pt>
              </c:numCache>
            </c:numRef>
          </c:val>
          <c:smooth val="0"/>
        </c:ser>
        <c:dLbls>
          <c:showLegendKey val="0"/>
          <c:showVal val="0"/>
          <c:showCatName val="0"/>
          <c:showSerName val="0"/>
          <c:showPercent val="0"/>
          <c:showBubbleSize val="0"/>
        </c:dLbls>
        <c:marker val="1"/>
        <c:smooth val="0"/>
        <c:axId val="79869824"/>
        <c:axId val="79868288"/>
      </c:lineChart>
      <c:catAx>
        <c:axId val="79864960"/>
        <c:scaling>
          <c:orientation val="minMax"/>
        </c:scaling>
        <c:delete val="0"/>
        <c:axPos val="b"/>
        <c:numFmt formatCode="General" sourceLinked="1"/>
        <c:majorTickMark val="out"/>
        <c:minorTickMark val="none"/>
        <c:tickLblPos val="nextTo"/>
        <c:crossAx val="79866496"/>
        <c:crosses val="autoZero"/>
        <c:auto val="1"/>
        <c:lblAlgn val="ctr"/>
        <c:lblOffset val="100"/>
        <c:noMultiLvlLbl val="0"/>
      </c:catAx>
      <c:valAx>
        <c:axId val="79866496"/>
        <c:scaling>
          <c:orientation val="minMax"/>
          <c:max val="100"/>
        </c:scaling>
        <c:delete val="0"/>
        <c:axPos val="l"/>
        <c:numFmt formatCode="0" sourceLinked="0"/>
        <c:majorTickMark val="out"/>
        <c:minorTickMark val="none"/>
        <c:tickLblPos val="nextTo"/>
        <c:crossAx val="79864960"/>
        <c:crosses val="autoZero"/>
        <c:crossBetween val="between"/>
      </c:valAx>
      <c:valAx>
        <c:axId val="79868288"/>
        <c:scaling>
          <c:orientation val="minMax"/>
        </c:scaling>
        <c:delete val="1"/>
        <c:axPos val="r"/>
        <c:numFmt formatCode="&quot;£&quot;#,##0.00" sourceLinked="1"/>
        <c:majorTickMark val="out"/>
        <c:minorTickMark val="none"/>
        <c:tickLblPos val="nextTo"/>
        <c:crossAx val="79869824"/>
        <c:crosses val="max"/>
        <c:crossBetween val="between"/>
      </c:valAx>
      <c:catAx>
        <c:axId val="79869824"/>
        <c:scaling>
          <c:orientation val="minMax"/>
        </c:scaling>
        <c:delete val="1"/>
        <c:axPos val="b"/>
        <c:majorTickMark val="out"/>
        <c:minorTickMark val="none"/>
        <c:tickLblPos val="nextTo"/>
        <c:crossAx val="79868288"/>
        <c:crosses val="autoZero"/>
        <c:auto val="1"/>
        <c:lblAlgn val="ctr"/>
        <c:lblOffset val="100"/>
        <c:noMultiLvlLbl val="0"/>
      </c:catAx>
    </c:plotArea>
    <c:plotVisOnly val="1"/>
    <c:dispBlanksAs val="zero"/>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en-GB" b="0"/>
              <a:t>(ii) revenue under OLR</a:t>
            </a:r>
          </a:p>
        </c:rich>
      </c:tx>
      <c:layout>
        <c:manualLayout>
          <c:xMode val="edge"/>
          <c:yMode val="edge"/>
          <c:x val="0.16338081671415008"/>
          <c:y val="3.8049261571785939E-2"/>
        </c:manualLayout>
      </c:layout>
      <c:overlay val="0"/>
    </c:title>
    <c:autoTitleDeleted val="0"/>
    <c:plotArea>
      <c:layout/>
      <c:areaChart>
        <c:grouping val="stacked"/>
        <c:varyColors val="0"/>
        <c:ser>
          <c:idx val="5"/>
          <c:order val="1"/>
          <c:tx>
            <c:strRef>
              <c:f>'[Example revenues under CfD and backstop PPAs indexed.xlsx]Sheet1'!$J$9</c:f>
              <c:strCache>
                <c:ptCount val="1"/>
                <c:pt idx="0">
                  <c:v>Revenue under bPPA</c:v>
                </c:pt>
              </c:strCache>
            </c:strRef>
          </c:tx>
          <c:val>
            <c:numRef>
              <c:f>'[Example revenues under CfD and backstop PPAs indexed.xlsx]Sheet1'!$J$10:$J$24</c:f>
              <c:numCache>
                <c:formatCode>0.00</c:formatCode>
                <c:ptCount val="15"/>
                <c:pt idx="0">
                  <c:v>38.226005068844493</c:v>
                </c:pt>
                <c:pt idx="1">
                  <c:v>44.253924960885278</c:v>
                </c:pt>
                <c:pt idx="2">
                  <c:v>46.333913530705544</c:v>
                </c:pt>
                <c:pt idx="3">
                  <c:v>46.649479414379208</c:v>
                </c:pt>
                <c:pt idx="4">
                  <c:v>47.596638230727464</c:v>
                </c:pt>
                <c:pt idx="5">
                  <c:v>46.495017693923337</c:v>
                </c:pt>
                <c:pt idx="6">
                  <c:v>46.387416781057645</c:v>
                </c:pt>
                <c:pt idx="7">
                  <c:v>48.362901260554409</c:v>
                </c:pt>
                <c:pt idx="8">
                  <c:v>50.089025443536045</c:v>
                </c:pt>
                <c:pt idx="9">
                  <c:v>50.671328511452664</c:v>
                </c:pt>
                <c:pt idx="10">
                  <c:v>50.389027904299233</c:v>
                </c:pt>
                <c:pt idx="11">
                  <c:v>51.181319657165481</c:v>
                </c:pt>
                <c:pt idx="12">
                  <c:v>51.489499283626046</c:v>
                </c:pt>
                <c:pt idx="13">
                  <c:v>54.417800464181667</c:v>
                </c:pt>
                <c:pt idx="14">
                  <c:v>53.888477878106187</c:v>
                </c:pt>
              </c:numCache>
            </c:numRef>
          </c:val>
        </c:ser>
        <c:ser>
          <c:idx val="2"/>
          <c:order val="2"/>
          <c:tx>
            <c:strRef>
              <c:f>'[Example revenues under CfD and backstop PPAs indexed.xlsx]Sheet1'!$C$9</c:f>
              <c:strCache>
                <c:ptCount val="1"/>
                <c:pt idx="0">
                  <c:v>CfD top-up</c:v>
                </c:pt>
              </c:strCache>
            </c:strRef>
          </c:tx>
          <c:cat>
            <c:numRef>
              <c:f>'[Example revenues under CfD and backstop PPAs indexed.xlsx]Sheet1'!$A$10:$A$24</c:f>
              <c:numCache>
                <c:formatCode>General</c:formatCode>
                <c:ptCount val="15"/>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numCache>
            </c:numRef>
          </c:cat>
          <c:val>
            <c:numRef>
              <c:f>'[Example revenues under CfD and backstop PPAs indexed.xlsx]Sheet1'!$C$10:$C$24</c:f>
              <c:numCache>
                <c:formatCode>0.00</c:formatCode>
                <c:ptCount val="15"/>
                <c:pt idx="0">
                  <c:v>47.571809131155504</c:v>
                </c:pt>
                <c:pt idx="1">
                  <c:v>41.273451539114724</c:v>
                </c:pt>
                <c:pt idx="2">
                  <c:v>38.923025269294456</c:v>
                </c:pt>
                <c:pt idx="3">
                  <c:v>38.33702168562079</c:v>
                </c:pt>
                <c:pt idx="4">
                  <c:v>37.119425169272539</c:v>
                </c:pt>
                <c:pt idx="5">
                  <c:v>37.534550006076664</c:v>
                </c:pt>
                <c:pt idx="6">
                  <c:v>36.955655218942354</c:v>
                </c:pt>
                <c:pt idx="7">
                  <c:v>34.293675039445588</c:v>
                </c:pt>
                <c:pt idx="8">
                  <c:v>31.881055156463958</c:v>
                </c:pt>
                <c:pt idx="9">
                  <c:v>30.612256388547337</c:v>
                </c:pt>
                <c:pt idx="10">
                  <c:v>30.228864195700766</c:v>
                </c:pt>
                <c:pt idx="11">
                  <c:v>28.770879642834515</c:v>
                </c:pt>
                <c:pt idx="12">
                  <c:v>27.797007216373956</c:v>
                </c:pt>
                <c:pt idx="13">
                  <c:v>24.203013235818332</c:v>
                </c:pt>
                <c:pt idx="14">
                  <c:v>24.06664302189381</c:v>
                </c:pt>
              </c:numCache>
            </c:numRef>
          </c:val>
        </c:ser>
        <c:dLbls>
          <c:showLegendKey val="0"/>
          <c:showVal val="0"/>
          <c:showCatName val="0"/>
          <c:showSerName val="0"/>
          <c:showPercent val="0"/>
          <c:showBubbleSize val="0"/>
        </c:dLbls>
        <c:axId val="125190528"/>
        <c:axId val="125192064"/>
      </c:areaChart>
      <c:lineChart>
        <c:grouping val="standard"/>
        <c:varyColors val="0"/>
        <c:ser>
          <c:idx val="0"/>
          <c:order val="0"/>
          <c:tx>
            <c:strRef>
              <c:f>'[Example revenues under CfD and backstop PPAs indexed.xlsx]Sheet1'!$B$9</c:f>
              <c:strCache>
                <c:ptCount val="1"/>
                <c:pt idx="0">
                  <c:v>Strike price</c:v>
                </c:pt>
              </c:strCache>
            </c:strRef>
          </c:tx>
          <c:spPr>
            <a:ln w="34925"/>
          </c:spPr>
          <c:marker>
            <c:symbol val="none"/>
          </c:marker>
          <c:val>
            <c:numRef>
              <c:f>'[Example revenues under CfD and backstop PPAs indexed.xlsx]Sheet1'!$B$10:$B$24</c:f>
              <c:numCache>
                <c:formatCode>"£"#,##0.00</c:formatCode>
                <c:ptCount val="15"/>
                <c:pt idx="0">
                  <c:v>100</c:v>
                </c:pt>
                <c:pt idx="1">
                  <c:v>100</c:v>
                </c:pt>
                <c:pt idx="2">
                  <c:v>100</c:v>
                </c:pt>
                <c:pt idx="3">
                  <c:v>100</c:v>
                </c:pt>
                <c:pt idx="4">
                  <c:v>100</c:v>
                </c:pt>
                <c:pt idx="5">
                  <c:v>100</c:v>
                </c:pt>
                <c:pt idx="6">
                  <c:v>100</c:v>
                </c:pt>
                <c:pt idx="7">
                  <c:v>100</c:v>
                </c:pt>
                <c:pt idx="8">
                  <c:v>100</c:v>
                </c:pt>
                <c:pt idx="9">
                  <c:v>100</c:v>
                </c:pt>
                <c:pt idx="10">
                  <c:v>100</c:v>
                </c:pt>
                <c:pt idx="11">
                  <c:v>100</c:v>
                </c:pt>
                <c:pt idx="12">
                  <c:v>100</c:v>
                </c:pt>
                <c:pt idx="13">
                  <c:v>100</c:v>
                </c:pt>
                <c:pt idx="14">
                  <c:v>100</c:v>
                </c:pt>
              </c:numCache>
            </c:numRef>
          </c:val>
          <c:smooth val="0"/>
        </c:ser>
        <c:dLbls>
          <c:showLegendKey val="0"/>
          <c:showVal val="0"/>
          <c:showCatName val="0"/>
          <c:showSerName val="0"/>
          <c:showPercent val="0"/>
          <c:showBubbleSize val="0"/>
        </c:dLbls>
        <c:marker val="1"/>
        <c:smooth val="0"/>
        <c:axId val="125195392"/>
        <c:axId val="125193600"/>
      </c:lineChart>
      <c:catAx>
        <c:axId val="125190528"/>
        <c:scaling>
          <c:orientation val="minMax"/>
        </c:scaling>
        <c:delete val="0"/>
        <c:axPos val="b"/>
        <c:numFmt formatCode="General" sourceLinked="1"/>
        <c:majorTickMark val="out"/>
        <c:minorTickMark val="none"/>
        <c:tickLblPos val="nextTo"/>
        <c:crossAx val="125192064"/>
        <c:crosses val="autoZero"/>
        <c:auto val="1"/>
        <c:lblAlgn val="ctr"/>
        <c:lblOffset val="100"/>
        <c:noMultiLvlLbl val="0"/>
      </c:catAx>
      <c:valAx>
        <c:axId val="125192064"/>
        <c:scaling>
          <c:orientation val="minMax"/>
          <c:max val="100"/>
        </c:scaling>
        <c:delete val="0"/>
        <c:axPos val="l"/>
        <c:numFmt formatCode="0" sourceLinked="0"/>
        <c:majorTickMark val="out"/>
        <c:minorTickMark val="none"/>
        <c:tickLblPos val="nextTo"/>
        <c:crossAx val="125190528"/>
        <c:crosses val="autoZero"/>
        <c:crossBetween val="between"/>
        <c:majorUnit val="20"/>
      </c:valAx>
      <c:valAx>
        <c:axId val="125193600"/>
        <c:scaling>
          <c:orientation val="minMax"/>
        </c:scaling>
        <c:delete val="1"/>
        <c:axPos val="r"/>
        <c:numFmt formatCode="&quot;£&quot;#,##0.00" sourceLinked="1"/>
        <c:majorTickMark val="out"/>
        <c:minorTickMark val="none"/>
        <c:tickLblPos val="nextTo"/>
        <c:crossAx val="125195392"/>
        <c:crosses val="max"/>
        <c:crossBetween val="between"/>
      </c:valAx>
      <c:catAx>
        <c:axId val="125195392"/>
        <c:scaling>
          <c:orientation val="minMax"/>
        </c:scaling>
        <c:delete val="1"/>
        <c:axPos val="b"/>
        <c:majorTickMark val="out"/>
        <c:minorTickMark val="none"/>
        <c:tickLblPos val="nextTo"/>
        <c:crossAx val="125193600"/>
        <c:crosses val="autoZero"/>
        <c:auto val="1"/>
        <c:lblAlgn val="ctr"/>
        <c:lblOffset val="100"/>
        <c:noMultiLvlLbl val="0"/>
      </c:catAx>
    </c:plotArea>
    <c:legend>
      <c:legendPos val="r"/>
      <c:overlay val="0"/>
      <c:txPr>
        <a:bodyPr/>
        <a:lstStyle/>
        <a:p>
          <a:pPr>
            <a:defRPr sz="800"/>
          </a:pPr>
          <a:endParaRPr lang="en-US"/>
        </a:p>
      </c:txPr>
    </c:legend>
    <c:plotVisOnly val="1"/>
    <c:dispBlanksAs val="zero"/>
    <c:showDLblsOverMax val="0"/>
  </c:chart>
  <c:spPr>
    <a:ln>
      <a:noFill/>
    </a:ln>
  </c:spPr>
  <c:txPr>
    <a:bodyPr/>
    <a:lstStyle/>
    <a:p>
      <a:pPr>
        <a:defRPr sz="9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0D917-E1EF-46D4-A90C-269E114B7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B25347E8</Template>
  <TotalTime>1</TotalTime>
  <Pages>10</Pages>
  <Words>3352</Words>
  <Characters>19110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22418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Harper Adam (Energy Markets and Networks)</dc:creator>
  <cp:lastModifiedBy>Crow Helena (Fuel Poverty &amp; Smart Meters)</cp:lastModifiedBy>
  <cp:revision>3</cp:revision>
  <cp:lastPrinted>2013-11-06T12:34:00Z</cp:lastPrinted>
  <dcterms:created xsi:type="dcterms:W3CDTF">2013-11-27T12:08:00Z</dcterms:created>
  <dcterms:modified xsi:type="dcterms:W3CDTF">2013-11-27T12:23:00Z</dcterms:modified>
</cp:coreProperties>
</file>